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475"/>
      <w:bookmarkStart w:id="4" w:name="_Toc15378441"/>
      <w:bookmarkStart w:id="5" w:name="_Toc15396597"/>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5"/>
      <w:bookmarkStart w:id="6" w:name="_Toc80277849"/>
      <w:bookmarkStart w:id="7" w:name="_Toc15306268"/>
      <w:bookmarkStart w:id="8" w:name="_Toc15378442"/>
      <w:bookmarkStart w:id="9" w:name="_Toc15377426"/>
      <w:bookmarkStart w:id="10" w:name="_Toc15396476"/>
      <w:bookmarkStart w:id="11" w:name="_Toc15377194"/>
      <w:bookmarkStart w:id="12" w:name="_Toc15396598"/>
    </w:p>
    <w:p>
      <w:pPr>
        <w:adjustRightInd w:val="0"/>
        <w:snapToGrid w:val="0"/>
        <w:spacing w:line="360" w:lineRule="auto"/>
        <w:ind w:left="2160" w:hanging="1680" w:hangingChars="300"/>
        <w:jc w:val="center"/>
        <w:outlineLvl w:val="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四川省总工会成都工人疗</w:t>
      </w:r>
      <w:bookmarkEnd w:id="6"/>
      <w:r>
        <w:rPr>
          <w:rFonts w:hint="eastAsia" w:ascii="方正小标宋简体" w:hAnsi="方正小标宋简体" w:eastAsia="方正小标宋简体" w:cs="方正小标宋简体"/>
          <w:sz w:val="56"/>
          <w:szCs w:val="56"/>
        </w:rPr>
        <w:t>养院</w:t>
      </w:r>
    </w:p>
    <w:p>
      <w:pPr>
        <w:adjustRightInd w:val="0"/>
        <w:snapToGrid w:val="0"/>
        <w:spacing w:line="360" w:lineRule="auto"/>
        <w:ind w:left="2160" w:hanging="1680" w:hangingChars="300"/>
        <w:jc w:val="center"/>
        <w:outlineLvl w:val="0"/>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单位决算</w:t>
      </w:r>
      <w:bookmarkEnd w:id="7"/>
      <w:bookmarkEnd w:id="8"/>
      <w:bookmarkEnd w:id="9"/>
      <w:bookmarkEnd w:id="10"/>
      <w:bookmarkEnd w:id="11"/>
      <w:bookmarkEnd w:id="12"/>
    </w:p>
    <w:p>
      <w:pPr>
        <w:adjustRightInd w:val="0"/>
        <w:snapToGrid w:val="0"/>
        <w:spacing w:line="360" w:lineRule="auto"/>
        <w:ind w:firstLine="2880" w:firstLineChars="600"/>
        <w:outlineLvl w:val="0"/>
        <w:rPr>
          <w:rFonts w:ascii="黑体" w:hAnsi="黑体" w:eastAsia="黑体"/>
          <w:sz w:val="48"/>
          <w:szCs w:val="48"/>
        </w:rPr>
      </w:pPr>
    </w:p>
    <w:p>
      <w:pPr>
        <w:adjustRightInd w:val="0"/>
        <w:snapToGrid w:val="0"/>
        <w:spacing w:line="360" w:lineRule="auto"/>
        <w:ind w:firstLine="2880" w:firstLineChars="600"/>
        <w:outlineLvl w:val="0"/>
        <w:rPr>
          <w:rFonts w:ascii="黑体" w:hAnsi="黑体" w:eastAsia="黑体"/>
          <w:sz w:val="48"/>
          <w:szCs w:val="48"/>
        </w:rPr>
      </w:pPr>
    </w:p>
    <w:p>
      <w:pPr>
        <w:adjustRightInd w:val="0"/>
        <w:snapToGrid w:val="0"/>
        <w:spacing w:line="360" w:lineRule="auto"/>
        <w:ind w:firstLine="2880" w:firstLineChars="600"/>
        <w:outlineLvl w:val="0"/>
        <w:rPr>
          <w:rFonts w:ascii="黑体" w:hAnsi="黑体" w:eastAsia="黑体"/>
          <w:sz w:val="48"/>
          <w:szCs w:val="48"/>
        </w:rPr>
      </w:pPr>
    </w:p>
    <w:p>
      <w:pPr>
        <w:adjustRightInd w:val="0"/>
        <w:snapToGrid w:val="0"/>
        <w:spacing w:line="360" w:lineRule="auto"/>
        <w:ind w:firstLine="2880" w:firstLineChars="600"/>
        <w:outlineLvl w:val="0"/>
        <w:rPr>
          <w:rFonts w:ascii="黑体" w:hAnsi="黑体" w:eastAsia="黑体"/>
          <w:sz w:val="48"/>
          <w:szCs w:val="48"/>
        </w:rPr>
      </w:pPr>
    </w:p>
    <w:p>
      <w:pPr>
        <w:adjustRightInd w:val="0"/>
        <w:snapToGrid w:val="0"/>
        <w:spacing w:line="360" w:lineRule="auto"/>
        <w:ind w:firstLine="2880" w:firstLineChars="600"/>
        <w:outlineLvl w:val="0"/>
        <w:rPr>
          <w:rFonts w:ascii="黑体" w:hAnsi="黑体" w:eastAsia="黑体"/>
          <w:sz w:val="48"/>
          <w:szCs w:val="48"/>
        </w:rPr>
      </w:pPr>
    </w:p>
    <w:p>
      <w:pPr>
        <w:adjustRightInd w:val="0"/>
        <w:snapToGrid w:val="0"/>
        <w:spacing w:line="360" w:lineRule="auto"/>
        <w:ind w:firstLine="2880" w:firstLineChars="600"/>
        <w:outlineLvl w:val="0"/>
        <w:rPr>
          <w:rFonts w:ascii="黑体" w:hAnsi="黑体" w:eastAsia="黑体"/>
          <w:sz w:val="48"/>
          <w:szCs w:val="48"/>
        </w:rPr>
      </w:pPr>
    </w:p>
    <w:p>
      <w:pPr>
        <w:adjustRightInd w:val="0"/>
        <w:snapToGrid w:val="0"/>
        <w:spacing w:line="360" w:lineRule="auto"/>
        <w:ind w:firstLine="2880" w:firstLineChars="600"/>
        <w:outlineLvl w:val="0"/>
        <w:rPr>
          <w:rFonts w:ascii="黑体" w:hAnsi="黑体" w:eastAsia="黑体"/>
          <w:sz w:val="48"/>
          <w:szCs w:val="48"/>
        </w:rPr>
      </w:pPr>
    </w:p>
    <w:p>
      <w:pPr>
        <w:pStyle w:val="7"/>
        <w:spacing w:before="93"/>
      </w:pPr>
    </w:p>
    <w:p>
      <w:pPr>
        <w:adjustRightInd w:val="0"/>
        <w:snapToGrid w:val="0"/>
        <w:spacing w:line="360" w:lineRule="auto"/>
        <w:ind w:firstLine="2880" w:firstLineChars="600"/>
        <w:outlineLvl w:val="0"/>
        <w:rPr>
          <w:rFonts w:ascii="黑体" w:hAnsi="黑体" w:eastAsia="黑体"/>
          <w:sz w:val="48"/>
          <w:szCs w:val="48"/>
        </w:rPr>
      </w:pPr>
    </w:p>
    <w:p>
      <w:pPr>
        <w:adjustRightInd w:val="0"/>
        <w:snapToGrid w:val="0"/>
        <w:spacing w:line="360" w:lineRule="auto"/>
        <w:jc w:val="center"/>
        <w:outlineLvl w:val="0"/>
        <w:rPr>
          <w:rFonts w:hint="eastAsia" w:ascii="黑体" w:hAnsi="黑体" w:eastAsia="黑体" w:cs="黑体"/>
          <w:sz w:val="48"/>
          <w:szCs w:val="48"/>
        </w:rPr>
      </w:pPr>
      <w:r>
        <w:rPr>
          <w:rFonts w:hint="eastAsia" w:ascii="黑体" w:hAnsi="黑体" w:eastAsia="黑体" w:cs="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公开时间：2022年9</w:t>
      </w:r>
      <w:bookmarkStart w:id="77" w:name="_GoBack"/>
      <w:bookmarkEnd w:id="77"/>
      <w:r>
        <w:rPr>
          <w:rFonts w:hint="eastAsia"/>
        </w:rPr>
        <w:t>月9日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单位概况..................................................4</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一、职能简介.</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.4</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二、2021年重点工作完成情况.....................................4</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三、机构设置情况....................................</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4</w:t>
      </w:r>
    </w:p>
    <w:p>
      <w:pPr>
        <w:pStyle w:val="12"/>
        <w:adjustRightInd w:val="0"/>
        <w:snapToGrid w:val="0"/>
        <w:spacing w:before="0" w:line="440" w:lineRule="exact"/>
        <w:jc w:val="left"/>
        <w:rPr>
          <w:sz w:val="24"/>
          <w:szCs w:val="24"/>
        </w:rPr>
      </w:pPr>
      <w:r>
        <w:rPr>
          <w:rFonts w:hint="eastAsia"/>
          <w:sz w:val="24"/>
        </w:rPr>
        <w:t>第二部分 2021年度单位决算情况明...................................15</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一、收入支出决算总体情况说明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15二、收入决算情况说明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15</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16四、财政拨款收入支出决算总体情况说明</w:t>
      </w: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sz w:val="24"/>
        </w:rPr>
        <w:t>7</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五、一般公共预算财政拨款支出决算情况说明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18</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六、一般公共预算财政拨款基本支出决算情况说明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21</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七、“三公”经费财政拨款支出决算情况说明</w:t>
      </w:r>
      <w:r>
        <w:rPr>
          <w:rFonts w:hint="eastAsia" w:asciiTheme="minorEastAsia" w:hAnsiTheme="minorEastAsia" w:eastAsiaTheme="minorEastAsia" w:cstheme="minorEastAsia"/>
          <w:sz w:val="24"/>
          <w:szCs w:val="28"/>
        </w:rPr>
        <w:t>.......................21</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八、政府性基金预算支出决算情况说明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22</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22十、其他重要事项的情况说明</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22</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名词解释.................................................24第四部分</w:t>
      </w:r>
      <w:r>
        <w:rPr>
          <w:sz w:val="24"/>
        </w:rPr>
        <w:t xml:space="preserve"> </w:t>
      </w:r>
      <w:r>
        <w:rPr>
          <w:rFonts w:hint="eastAsia"/>
          <w:sz w:val="24"/>
        </w:rPr>
        <w:t>附件.....................................................26</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一、收入支出决算总表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rPr>
        <w:t>30</w:t>
      </w:r>
    </w:p>
    <w:p>
      <w:pPr>
        <w:pStyle w:val="3"/>
        <w:jc w:val="center"/>
        <w:rPr>
          <w:rFonts w:ascii="黑体" w:hAnsi="黑体" w:eastAsia="黑体"/>
          <w:b w:val="0"/>
        </w:rPr>
      </w:pPr>
      <w:bookmarkStart w:id="13" w:name="_Toc15377196"/>
      <w:bookmarkStart w:id="14" w:name="_Toc15396599"/>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rPr>
          <w:rFonts w:ascii="黑体" w:hAnsi="黑体" w:eastAsia="黑体"/>
          <w:b w:val="0"/>
        </w:rPr>
      </w:pPr>
    </w:p>
    <w:p>
      <w:pPr>
        <w:rPr>
          <w:rFonts w:ascii="黑体" w:hAnsi="黑体" w:eastAsia="黑体"/>
        </w:rPr>
      </w:pPr>
    </w:p>
    <w:p>
      <w:pPr>
        <w:pStyle w:val="7"/>
        <w:spacing w:before="93"/>
      </w:pPr>
    </w:p>
    <w:p>
      <w:pPr>
        <w:pStyle w:val="3"/>
        <w:jc w:val="center"/>
        <w:rPr>
          <w:rStyle w:val="26"/>
          <w:rFonts w:ascii="黑体" w:hAnsi="黑体" w:eastAsia="黑体"/>
          <w:b/>
          <w:bCs w:val="0"/>
        </w:rPr>
      </w:pPr>
      <w:r>
        <w:rPr>
          <w:rFonts w:hint="eastAsia" w:ascii="黑体" w:hAnsi="黑体" w:eastAsia="黑体"/>
          <w:b w:val="0"/>
        </w:rPr>
        <w:t>第一部分 单位</w:t>
      </w:r>
      <w:r>
        <w:rPr>
          <w:rStyle w:val="26"/>
          <w:rFonts w:hint="eastAsia" w:ascii="黑体" w:hAnsi="黑体" w:eastAsia="黑体"/>
          <w:b w:val="0"/>
          <w:bCs w:val="0"/>
        </w:rPr>
        <w:t>概况</w:t>
      </w:r>
      <w:bookmarkEnd w:id="13"/>
      <w:bookmarkEnd w:id="14"/>
    </w:p>
    <w:p>
      <w:pPr>
        <w:widowControl/>
        <w:jc w:val="left"/>
        <w:rPr>
          <w:rFonts w:ascii="黑体" w:eastAsia="黑体"/>
          <w:sz w:val="32"/>
          <w:szCs w:val="32"/>
        </w:rPr>
      </w:pPr>
    </w:p>
    <w:p>
      <w:pPr>
        <w:pStyle w:val="4"/>
        <w:numPr>
          <w:ilvl w:val="0"/>
          <w:numId w:val="1"/>
        </w:numPr>
        <w:rPr>
          <w:rStyle w:val="27"/>
          <w:rFonts w:ascii="黑体" w:hAnsi="黑体" w:eastAsia="黑体"/>
          <w:b w:val="0"/>
          <w:bCs w:val="0"/>
        </w:rPr>
      </w:pPr>
      <w:bookmarkStart w:id="15" w:name="_Toc15377197"/>
      <w:bookmarkStart w:id="16" w:name="_Toc15396600"/>
      <w:r>
        <w:rPr>
          <w:rStyle w:val="27"/>
          <w:rFonts w:hint="eastAsia" w:ascii="黑体" w:hAnsi="黑体" w:eastAsia="黑体"/>
          <w:b w:val="0"/>
          <w:bCs w:val="0"/>
        </w:rPr>
        <w:t>职能简介</w:t>
      </w:r>
    </w:p>
    <w:p>
      <w:pPr>
        <w:ind w:firstLine="640" w:firstLineChars="200"/>
      </w:pPr>
      <w:r>
        <w:rPr>
          <w:rFonts w:hint="eastAsia" w:ascii="仿宋_GB2312" w:eastAsia="仿宋_GB2312"/>
          <w:sz w:val="32"/>
          <w:szCs w:val="32"/>
        </w:rPr>
        <w:t>四川省总工会成都工人疗养院坐落在成都大熊猫繁育研究基地旁，始建于1953年，是直属于四川省总工会的一所集</w:t>
      </w:r>
      <w:r>
        <w:fldChar w:fldCharType="begin"/>
      </w:r>
      <w:r>
        <w:instrText xml:space="preserve"> HYPERLINK "http://www.cdgrlyy.org/news20120103100103_1_1.html" \t "http://www.cdgrlyy.org/about/_blank" </w:instrText>
      </w:r>
      <w:r>
        <w:fldChar w:fldCharType="separate"/>
      </w:r>
      <w:r>
        <w:rPr>
          <w:rFonts w:hint="eastAsia" w:ascii="仿宋_GB2312" w:eastAsia="仿宋_GB2312"/>
          <w:sz w:val="32"/>
          <w:szCs w:val="32"/>
        </w:rPr>
        <w:t>健康体检</w:t>
      </w:r>
      <w:r>
        <w:rPr>
          <w:rFonts w:hint="eastAsia" w:ascii="仿宋_GB2312" w:eastAsia="仿宋_GB2312"/>
          <w:sz w:val="32"/>
          <w:szCs w:val="32"/>
        </w:rPr>
        <w:fldChar w:fldCharType="end"/>
      </w:r>
      <w:r>
        <w:rPr>
          <w:rFonts w:hint="eastAsia" w:ascii="仿宋_GB2312" w:eastAsia="仿宋_GB2312"/>
          <w:sz w:val="32"/>
          <w:szCs w:val="32"/>
        </w:rPr>
        <w:t>、</w:t>
      </w:r>
      <w:r>
        <w:fldChar w:fldCharType="begin"/>
      </w:r>
      <w:r>
        <w:instrText xml:space="preserve"> HYPERLINK "http://www.cdgrlyy.org/news20120920230508_23_1.html" \t "http://www.cdgrlyy.org/about/_blank" </w:instrText>
      </w:r>
      <w:r>
        <w:fldChar w:fldCharType="separate"/>
      </w:r>
      <w:r>
        <w:rPr>
          <w:rFonts w:hint="eastAsia" w:ascii="仿宋_GB2312" w:eastAsia="仿宋_GB2312"/>
          <w:sz w:val="32"/>
          <w:szCs w:val="32"/>
        </w:rPr>
        <w:t>疗休养</w:t>
      </w:r>
      <w:r>
        <w:rPr>
          <w:rFonts w:hint="eastAsia" w:ascii="仿宋_GB2312" w:eastAsia="仿宋_GB2312"/>
          <w:sz w:val="32"/>
          <w:szCs w:val="32"/>
        </w:rPr>
        <w:fldChar w:fldCharType="end"/>
      </w:r>
      <w:r>
        <w:rPr>
          <w:rFonts w:hint="eastAsia" w:ascii="仿宋_GB2312" w:eastAsia="仿宋_GB2312"/>
          <w:sz w:val="32"/>
          <w:szCs w:val="32"/>
        </w:rPr>
        <w:t>和</w:t>
      </w:r>
      <w:r>
        <w:fldChar w:fldCharType="begin"/>
      </w:r>
      <w:r>
        <w:instrText xml:space="preserve"> HYPERLINK "http://www.cdgrlyy.org/news20120920230508_24_1.html" \t "http://www.cdgrlyy.org/about/_blank" </w:instrText>
      </w:r>
      <w:r>
        <w:fldChar w:fldCharType="separate"/>
      </w:r>
      <w:r>
        <w:rPr>
          <w:rFonts w:hint="eastAsia" w:ascii="仿宋_GB2312" w:eastAsia="仿宋_GB2312"/>
          <w:sz w:val="32"/>
          <w:szCs w:val="32"/>
        </w:rPr>
        <w:t>工会干部培训</w:t>
      </w:r>
      <w:r>
        <w:rPr>
          <w:rFonts w:hint="eastAsia" w:ascii="仿宋_GB2312" w:eastAsia="仿宋_GB2312"/>
          <w:sz w:val="32"/>
          <w:szCs w:val="32"/>
        </w:rPr>
        <w:fldChar w:fldCharType="end"/>
      </w:r>
      <w:r>
        <w:rPr>
          <w:rFonts w:hint="eastAsia" w:ascii="仿宋_GB2312" w:eastAsia="仿宋_GB2312"/>
          <w:sz w:val="32"/>
          <w:szCs w:val="32"/>
        </w:rPr>
        <w:t>为一体综合型疗养院。四川省总工会健康体检中心是四川省总工会2012年4月批准设立，是四川省人民医院健康体检中心北区分部，是开展健康体检及健康管理的专业机构，主要从事健康体检、健康教育、健康与亚健康咨询以及保健管理等全方位的医疗健康服务。是四川省工会干部培训基地、劳动模范、职工疗休养基地和职工健康体检基地。</w:t>
      </w:r>
    </w:p>
    <w:p>
      <w:pPr>
        <w:pStyle w:val="4"/>
        <w:rPr>
          <w:rFonts w:ascii="黑体" w:hAnsi="黑体" w:eastAsia="黑体"/>
          <w:b w:val="0"/>
        </w:rPr>
      </w:pPr>
      <w:r>
        <w:rPr>
          <w:rFonts w:hint="eastAsia" w:ascii="黑体" w:hAnsi="黑体" w:eastAsia="黑体"/>
          <w:b w:val="0"/>
        </w:rPr>
        <w:t>二、2021年重点工作</w:t>
      </w:r>
      <w:bookmarkEnd w:id="15"/>
      <w:bookmarkEnd w:id="16"/>
      <w:r>
        <w:rPr>
          <w:rFonts w:hint="eastAsia" w:ascii="黑体" w:hAnsi="黑体" w:eastAsia="黑体"/>
          <w:b w:val="0"/>
        </w:rPr>
        <w:t>完成情况</w:t>
      </w:r>
    </w:p>
    <w:p>
      <w:pPr>
        <w:ind w:firstLine="640" w:firstLineChars="200"/>
        <w:rPr>
          <w:rFonts w:ascii="仿宋_GB2312" w:eastAsia="仿宋_GB2312"/>
          <w:sz w:val="32"/>
          <w:szCs w:val="32"/>
        </w:rPr>
      </w:pPr>
      <w:r>
        <w:rPr>
          <w:rFonts w:hint="eastAsia" w:ascii="仿宋_GB2312" w:eastAsia="仿宋_GB2312"/>
          <w:sz w:val="32"/>
          <w:szCs w:val="32"/>
        </w:rPr>
        <w:t>2021年，在全总和省总党组的正确领导下，以习近平新时代中国特色社会主义思想为指导，深入学习贯彻党的十九届六中全会和省委十一届十次全会精神。以“旗红院美”为引领，聚焦主责主业，坚持疫情防控和业务发展两手抓、两不误，坚持用心用情与省医院合作，在党的建设、项目建设、疫情防控、服务社会等方面取得了新的突破，开启了高质量发展的新篇章。</w:t>
      </w:r>
    </w:p>
    <w:p>
      <w:pPr>
        <w:ind w:firstLine="640" w:firstLineChars="200"/>
        <w:rPr>
          <w:rFonts w:ascii="仿宋_GB2312" w:eastAsia="仿宋_GB2312"/>
          <w:sz w:val="32"/>
          <w:szCs w:val="32"/>
        </w:rPr>
      </w:pPr>
      <w:r>
        <w:rPr>
          <w:rFonts w:hint="eastAsia" w:ascii="仿宋_GB2312" w:eastAsia="仿宋_GB2312"/>
          <w:sz w:val="32"/>
          <w:szCs w:val="32"/>
        </w:rPr>
        <w:t>（一）党建引领</w:t>
      </w:r>
    </w:p>
    <w:p>
      <w:pPr>
        <w:ind w:firstLine="640" w:firstLineChars="200"/>
        <w:rPr>
          <w:rFonts w:ascii="仿宋_GB2312" w:eastAsia="仿宋_GB2312"/>
          <w:sz w:val="32"/>
          <w:szCs w:val="32"/>
        </w:rPr>
      </w:pPr>
      <w:r>
        <w:rPr>
          <w:rFonts w:hint="eastAsia" w:ascii="仿宋_GB2312" w:eastAsia="仿宋_GB2312"/>
          <w:sz w:val="32"/>
          <w:szCs w:val="32"/>
        </w:rPr>
        <w:t>紧紧围绕创建“三大品牌”目标，创新“把方向、抓班子、带队伍、促发展”各项举措，定位主战场、聚焦敏感点，打好主动战，找准党建工作和全院发展的结合点，通过建好阵地、建强支部、建活载体、建硬队伍、建亮品牌的五建措施，为高质量发展提供了组织保证。</w:t>
      </w:r>
    </w:p>
    <w:p>
      <w:pPr>
        <w:ind w:firstLine="640" w:firstLineChars="200"/>
        <w:rPr>
          <w:rFonts w:ascii="仿宋_GB2312" w:eastAsia="仿宋_GB2312"/>
          <w:sz w:val="32"/>
          <w:szCs w:val="32"/>
        </w:rPr>
      </w:pPr>
      <w:r>
        <w:rPr>
          <w:rFonts w:hint="eastAsia" w:ascii="仿宋_GB2312" w:eastAsia="仿宋_GB2312"/>
          <w:sz w:val="32"/>
          <w:szCs w:val="32"/>
        </w:rPr>
        <w:t>1.聚焦“高标”，推进活动阵地建设</w:t>
      </w:r>
    </w:p>
    <w:p>
      <w:pPr>
        <w:ind w:firstLine="640" w:firstLineChars="200"/>
        <w:rPr>
          <w:rFonts w:ascii="仿宋_GB2312" w:eastAsia="仿宋_GB2312"/>
          <w:sz w:val="32"/>
          <w:szCs w:val="32"/>
        </w:rPr>
      </w:pPr>
      <w:r>
        <w:rPr>
          <w:rFonts w:hint="eastAsia" w:ascii="仿宋_GB2312" w:eastAsia="仿宋_GB2312"/>
          <w:sz w:val="32"/>
          <w:szCs w:val="32"/>
        </w:rPr>
        <w:t>一是在活动室、多功能室悬挂“党员活动室”标牌。二是做到党旗、入党誓词、“三会一课”制度、党员权力与义务等上墙。三是设承诺公示牌，党务公开栏。时刻提醒党员“学党史、悟思想、办实事、开新局”。</w:t>
      </w:r>
    </w:p>
    <w:p>
      <w:pPr>
        <w:ind w:firstLine="640" w:firstLineChars="200"/>
        <w:rPr>
          <w:rFonts w:ascii="仿宋_GB2312" w:eastAsia="仿宋_GB2312"/>
          <w:sz w:val="32"/>
          <w:szCs w:val="32"/>
        </w:rPr>
      </w:pPr>
      <w:r>
        <w:rPr>
          <w:rFonts w:hint="eastAsia" w:ascii="仿宋_GB2312" w:eastAsia="仿宋_GB2312"/>
          <w:sz w:val="32"/>
          <w:szCs w:val="32"/>
        </w:rPr>
        <w:t>2.聚焦“核心”，推进支部功能增强</w:t>
      </w:r>
    </w:p>
    <w:p>
      <w:pPr>
        <w:ind w:firstLine="640" w:firstLineChars="200"/>
        <w:rPr>
          <w:rFonts w:ascii="仿宋_GB2312" w:eastAsia="仿宋_GB2312"/>
          <w:sz w:val="32"/>
          <w:szCs w:val="32"/>
        </w:rPr>
      </w:pPr>
      <w:r>
        <w:rPr>
          <w:rFonts w:hint="eastAsia" w:ascii="仿宋_GB2312" w:eastAsia="仿宋_GB2312"/>
          <w:sz w:val="32"/>
          <w:szCs w:val="32"/>
        </w:rPr>
        <w:t>一是建立党建工作责任制。各支部按照党总支各阶段安排部署，压实主体责任，建立基础工作台账和任务清单，把督促指导，跟踪问效，严格考核贯穿于工作全过程。二是落实党员“政治生日”制度。制定了具体方案，明确了目标，组织形式和活动内容，以支部为单位，将党员名单、入党日期排序，建立党员“政治生日”活动手册。三是推行党总支委员联系支部制度。要求党总支委员在联系支部讲党课，参加组织生活会，解决支部组织建设实际问题，与党员开展谈心交心活动，了解掌握党员的思想、工作和现实表现情况。四是优化日常监督制度。修改“三重一大”决策制度，完善内控管理制度。6月，省总纪检、工青妇广元培训会上，魏时芳就日常监管经验向大会提供了书面汇报材料。五是严格党员组织生活会制度。认真抓好“三会一课”制度，全年召开党员大会5次，总支委员会39次，三个支部召开支委会（党员会）共47次，其中：体检中心支部11次，休养所支部24次，行政支部12次。及时足额收缴党费。六是加强党建基础培训。6月25日，邀请机关党委赵林同志结合支部现状和实际，围绕发展党员程序、党建基础工作管理、组织建设、作风建设、党风廉政建设、民主评议党员等需要准备的材料和时间节点逻辑关系，进行了精心指导。</w:t>
      </w:r>
    </w:p>
    <w:p>
      <w:pPr>
        <w:ind w:firstLine="640" w:firstLineChars="200"/>
        <w:rPr>
          <w:rFonts w:ascii="仿宋_GB2312" w:eastAsia="仿宋_GB2312"/>
          <w:sz w:val="32"/>
          <w:szCs w:val="32"/>
        </w:rPr>
      </w:pPr>
      <w:r>
        <w:rPr>
          <w:rFonts w:hint="eastAsia" w:ascii="仿宋_GB2312" w:eastAsia="仿宋_GB2312"/>
          <w:sz w:val="32"/>
          <w:szCs w:val="32"/>
        </w:rPr>
        <w:t>3.聚焦“常态”，推进载体活力</w:t>
      </w:r>
    </w:p>
    <w:p>
      <w:pPr>
        <w:ind w:firstLine="640" w:firstLineChars="200"/>
        <w:rPr>
          <w:rFonts w:ascii="仿宋_GB2312" w:eastAsia="仿宋_GB2312"/>
          <w:sz w:val="32"/>
          <w:szCs w:val="32"/>
        </w:rPr>
      </w:pPr>
      <w:r>
        <w:rPr>
          <w:rFonts w:hint="eastAsia" w:ascii="仿宋_GB2312" w:eastAsia="仿宋_GB2312"/>
          <w:sz w:val="32"/>
          <w:szCs w:val="32"/>
        </w:rPr>
        <w:t>（1）强化组织引领，主动担当作为</w:t>
      </w:r>
    </w:p>
    <w:p>
      <w:pPr>
        <w:ind w:firstLine="640" w:firstLineChars="200"/>
        <w:rPr>
          <w:rFonts w:ascii="仿宋_GB2312" w:eastAsia="仿宋_GB2312"/>
          <w:sz w:val="32"/>
          <w:szCs w:val="32"/>
        </w:rPr>
      </w:pPr>
      <w:r>
        <w:rPr>
          <w:rFonts w:hint="eastAsia" w:ascii="仿宋_GB2312" w:eastAsia="仿宋_GB2312"/>
          <w:sz w:val="32"/>
          <w:szCs w:val="32"/>
        </w:rPr>
        <w:t>党总支加大对体检中心、休养所、行政等三个支部党建业务指导，发挥党支部战斗堡垒作用，及时发现亮点，利用微信公众平台、LED显示屏加大宣传力度。</w:t>
      </w:r>
    </w:p>
    <w:p>
      <w:pPr>
        <w:ind w:firstLine="640" w:firstLineChars="200"/>
        <w:rPr>
          <w:rFonts w:ascii="仿宋_GB2312" w:eastAsia="仿宋_GB2312"/>
          <w:sz w:val="32"/>
          <w:szCs w:val="32"/>
        </w:rPr>
      </w:pPr>
      <w:r>
        <w:rPr>
          <w:rFonts w:hint="eastAsia" w:ascii="仿宋_GB2312" w:eastAsia="仿宋_GB2312"/>
          <w:sz w:val="32"/>
          <w:szCs w:val="32"/>
        </w:rPr>
        <w:t>组织党员职工收看爱国题材和警示教育片，弘扬时代先锋，聚焦正能量；继续把巩固“不忘初心牢记使命”成果作为终身使命，知行合一，学用结合。</w:t>
      </w:r>
    </w:p>
    <w:p>
      <w:pPr>
        <w:ind w:firstLine="640" w:firstLineChars="200"/>
        <w:rPr>
          <w:rFonts w:ascii="仿宋_GB2312" w:eastAsia="仿宋_GB2312"/>
          <w:sz w:val="32"/>
          <w:szCs w:val="32"/>
        </w:rPr>
      </w:pPr>
      <w:r>
        <w:rPr>
          <w:rFonts w:hint="eastAsia" w:ascii="仿宋_GB2312" w:eastAsia="仿宋_GB2312"/>
          <w:sz w:val="32"/>
          <w:szCs w:val="32"/>
        </w:rPr>
        <w:t>抓好党员积分管理，教育引导党员自觉践行“四讲、四有”标准，立足岗位，争先创优。2月，组织志愿者服务队赴白莲池社区、街道义务服务；组织专业医疗队为期半个月时间为西华大学教职工、离退休人员上门体检；特别是成都两次疫情反弹，派出漆莉等30名医务人员从5月10日开始到11月份，协助成华区预检分诊、疫苗接种。</w:t>
      </w:r>
    </w:p>
    <w:p>
      <w:pPr>
        <w:ind w:firstLine="640" w:firstLineChars="200"/>
        <w:rPr>
          <w:rFonts w:ascii="仿宋_GB2312" w:eastAsia="仿宋_GB2312"/>
          <w:sz w:val="32"/>
          <w:szCs w:val="32"/>
        </w:rPr>
      </w:pPr>
      <w:r>
        <w:rPr>
          <w:rFonts w:hint="eastAsia" w:ascii="仿宋_GB2312" w:eastAsia="仿宋_GB2312"/>
          <w:sz w:val="32"/>
          <w:szCs w:val="32"/>
        </w:rPr>
        <w:t>（2）我为群众办实事落到实处</w:t>
      </w:r>
    </w:p>
    <w:p>
      <w:pPr>
        <w:ind w:firstLine="640" w:firstLineChars="200"/>
        <w:rPr>
          <w:rFonts w:ascii="仿宋_GB2312" w:eastAsia="仿宋_GB2312"/>
          <w:sz w:val="32"/>
          <w:szCs w:val="32"/>
        </w:rPr>
      </w:pPr>
      <w:r>
        <w:rPr>
          <w:rFonts w:hint="eastAsia" w:ascii="仿宋_GB2312" w:eastAsia="仿宋_GB2312"/>
          <w:sz w:val="32"/>
          <w:szCs w:val="32"/>
        </w:rPr>
        <w:t>围绕党建引领解决客户和职工急难愁盼问题。投资1600万元改善休养所接待条件；体检中心局部升级，增添体检设备，提升服务水准；院容院貌焕然一新，客户和职工到单位仿佛回到温暖家的感觉；后勤工作人员不分份内份外，热心为顾客测量体温，用专车接送顾客；组建40余人的志愿服务队，以主题实践、党日活动等形式，健康义诊，防疫知识宣传，党员同志深入白莲池社区、街道走进困难家庭，与居民、单位离退休职工面对面沟通交流，心贴心纾困解难，以多种形式为群众送关怀、送服务、送温暖，将党史学习教育成果转化为为民服务的内生动力；与健康管理中心党支部、省总机关党委党支部联合开展活动，重温入党誓词，讲党课，讲述解读党的故事，让红色精神厚植于广大党员职工心中，全院上报“我为群众办实事”项目清单事项全面落到实处。</w:t>
      </w:r>
    </w:p>
    <w:p>
      <w:pPr>
        <w:ind w:firstLine="640" w:firstLineChars="200"/>
        <w:rPr>
          <w:rFonts w:ascii="仿宋_GB2312" w:eastAsia="仿宋_GB2312"/>
          <w:sz w:val="32"/>
          <w:szCs w:val="32"/>
        </w:rPr>
      </w:pPr>
      <w:r>
        <w:rPr>
          <w:rFonts w:hint="eastAsia" w:ascii="仿宋_GB2312" w:eastAsia="仿宋_GB2312"/>
          <w:sz w:val="32"/>
          <w:szCs w:val="32"/>
        </w:rPr>
        <w:t>（3）创新“三亮、三比、三评”活动卓有成效</w:t>
      </w:r>
    </w:p>
    <w:p>
      <w:pPr>
        <w:ind w:firstLine="640" w:firstLineChars="200"/>
        <w:rPr>
          <w:rFonts w:ascii="仿宋_GB2312" w:eastAsia="仿宋_GB2312"/>
          <w:sz w:val="32"/>
          <w:szCs w:val="32"/>
        </w:rPr>
      </w:pPr>
      <w:r>
        <w:rPr>
          <w:rFonts w:hint="eastAsia" w:ascii="仿宋_GB2312" w:eastAsia="仿宋_GB2312"/>
          <w:sz w:val="32"/>
          <w:szCs w:val="32"/>
        </w:rPr>
        <w:t>各支部争创“五好支部”活动，党员立足本职岗位在单位服务区亮岗台公开亮标准、亮身份、亮承诺，相互比技能、比作风、比业绩，开展知识技能“PK”赛，评选党员示范岗等活动，充分激发了党员职工的能动力。</w:t>
      </w:r>
    </w:p>
    <w:p>
      <w:pPr>
        <w:ind w:firstLine="640" w:firstLineChars="200"/>
        <w:rPr>
          <w:rFonts w:ascii="仿宋_GB2312" w:eastAsia="仿宋_GB2312"/>
          <w:sz w:val="32"/>
          <w:szCs w:val="32"/>
        </w:rPr>
      </w:pPr>
      <w:r>
        <w:rPr>
          <w:rFonts w:hint="eastAsia" w:ascii="仿宋_GB2312" w:eastAsia="仿宋_GB2312"/>
          <w:sz w:val="32"/>
          <w:szCs w:val="32"/>
        </w:rPr>
        <w:t>4.聚焦“活力”，推进党员素质建设</w:t>
      </w:r>
    </w:p>
    <w:p>
      <w:pPr>
        <w:ind w:firstLine="640" w:firstLineChars="200"/>
        <w:rPr>
          <w:rFonts w:ascii="仿宋_GB2312" w:eastAsia="仿宋_GB2312"/>
          <w:sz w:val="32"/>
          <w:szCs w:val="32"/>
        </w:rPr>
      </w:pPr>
      <w:r>
        <w:rPr>
          <w:rFonts w:hint="eastAsia" w:ascii="仿宋_GB2312" w:eastAsia="仿宋_GB2312"/>
          <w:sz w:val="32"/>
          <w:szCs w:val="32"/>
        </w:rPr>
        <w:t>（1）坚持理论武装</w:t>
      </w:r>
    </w:p>
    <w:p>
      <w:pPr>
        <w:ind w:firstLine="640" w:firstLineChars="200"/>
        <w:rPr>
          <w:rFonts w:ascii="仿宋_GB2312" w:eastAsia="仿宋_GB2312"/>
          <w:sz w:val="32"/>
          <w:szCs w:val="32"/>
        </w:rPr>
      </w:pPr>
      <w:r>
        <w:rPr>
          <w:rFonts w:hint="eastAsia" w:ascii="仿宋_GB2312" w:eastAsia="仿宋_GB2312"/>
          <w:sz w:val="32"/>
          <w:szCs w:val="32"/>
        </w:rPr>
        <w:t>组织各支部认真学习了习近平总书记新时代重要思想理论，贯彻党的十九届五中、六中全会精神和省委十一届九次、十次全会精神，把学习全会精神作为党史学习教育内容，创新学习形式，转化学习成果，提高政治站位，真正把全会精神内化于心外化为行，知行合一。</w:t>
      </w:r>
    </w:p>
    <w:p>
      <w:pPr>
        <w:ind w:firstLine="640" w:firstLineChars="200"/>
        <w:rPr>
          <w:rFonts w:ascii="仿宋_GB2312" w:eastAsia="仿宋_GB2312"/>
          <w:sz w:val="32"/>
          <w:szCs w:val="32"/>
        </w:rPr>
      </w:pPr>
      <w:r>
        <w:rPr>
          <w:rFonts w:hint="eastAsia" w:ascii="仿宋_GB2312" w:eastAsia="仿宋_GB2312"/>
          <w:sz w:val="32"/>
          <w:szCs w:val="32"/>
        </w:rPr>
        <w:t>（2）党史学习见成效</w:t>
      </w:r>
    </w:p>
    <w:p>
      <w:pPr>
        <w:ind w:firstLine="640" w:firstLineChars="200"/>
        <w:rPr>
          <w:rFonts w:ascii="仿宋_GB2312" w:eastAsia="仿宋_GB2312"/>
          <w:sz w:val="32"/>
          <w:szCs w:val="32"/>
        </w:rPr>
      </w:pPr>
      <w:r>
        <w:rPr>
          <w:rFonts w:hint="eastAsia" w:ascii="仿宋_GB2312" w:eastAsia="仿宋_GB2312"/>
          <w:sz w:val="32"/>
          <w:szCs w:val="32"/>
        </w:rPr>
        <w:t>制定印发了《庆祝中国共产党成立100周年暨党史学习教育实施方案》，成立了党史学习教育领导小组，明确责任，加强监督，营造学习良好氛围，务求工作实效。</w:t>
      </w:r>
    </w:p>
    <w:p>
      <w:pPr>
        <w:ind w:firstLine="640" w:firstLineChars="200"/>
        <w:rPr>
          <w:rFonts w:ascii="仿宋_GB2312" w:eastAsia="仿宋_GB2312"/>
          <w:sz w:val="32"/>
          <w:szCs w:val="32"/>
        </w:rPr>
      </w:pPr>
      <w:r>
        <w:rPr>
          <w:rFonts w:hint="eastAsia" w:ascii="仿宋_GB2312" w:eastAsia="仿宋_GB2312"/>
          <w:sz w:val="32"/>
          <w:szCs w:val="32"/>
        </w:rPr>
        <w:t>（3）精心策划部署，促进学深悟透</w:t>
      </w:r>
    </w:p>
    <w:p>
      <w:pPr>
        <w:ind w:firstLine="640" w:firstLineChars="200"/>
        <w:rPr>
          <w:rFonts w:ascii="仿宋_GB2312" w:eastAsia="仿宋_GB2312"/>
          <w:sz w:val="32"/>
          <w:szCs w:val="32"/>
        </w:rPr>
      </w:pPr>
      <w:r>
        <w:rPr>
          <w:rFonts w:hint="eastAsia" w:ascii="仿宋_GB2312" w:eastAsia="仿宋_GB2312"/>
          <w:sz w:val="32"/>
          <w:szCs w:val="32"/>
        </w:rPr>
        <w:t>按照实施方案，召开动员会、学习会，统一认识，强化行动自觉，高标准、高质量抓党史学习教育活动，明确学习时间表，为各支部党员推出“主题式”菜单，列出阶段性学习内容，明确学习方向，重点学习《习近平新时代中国特色社会主义思想学习问答》《中国共产党简史》《中国共产党风云人物》《大业宏图1954的中国》等学习书目，鼓励党员职工克服时间、空间障碍，将学习心得体会在活动中相互分享。</w:t>
      </w:r>
    </w:p>
    <w:p>
      <w:pPr>
        <w:ind w:firstLine="640" w:firstLineChars="200"/>
        <w:rPr>
          <w:rFonts w:ascii="仿宋_GB2312" w:eastAsia="仿宋_GB2312"/>
          <w:sz w:val="32"/>
          <w:szCs w:val="32"/>
        </w:rPr>
      </w:pPr>
      <w:r>
        <w:rPr>
          <w:rFonts w:hint="eastAsia" w:ascii="仿宋_GB2312" w:eastAsia="仿宋_GB2312"/>
          <w:sz w:val="32"/>
          <w:szCs w:val="32"/>
        </w:rPr>
        <w:t>（4）精心组织安排，推动教育走深走实</w:t>
      </w:r>
    </w:p>
    <w:p>
      <w:pPr>
        <w:ind w:firstLine="640" w:firstLineChars="200"/>
        <w:rPr>
          <w:rFonts w:ascii="仿宋_GB2312" w:eastAsia="仿宋_GB2312"/>
          <w:sz w:val="32"/>
          <w:szCs w:val="32"/>
        </w:rPr>
      </w:pPr>
      <w:r>
        <w:rPr>
          <w:rFonts w:hint="eastAsia" w:ascii="仿宋_GB2312" w:eastAsia="仿宋_GB2312"/>
          <w:sz w:val="32"/>
          <w:szCs w:val="32"/>
        </w:rPr>
        <w:t>4月，党总支与省总机关党委支部赴浦江县西来古镇铜鼓村成都战役纪念馆，开展“不忘初心再出发，奋进伟大新征程”主题党日活动；听取了省总党组成员、机关党委书记王超讲的生动党课；联合健康管理中心党支部深入泸定磨西、大渡河、广元等地，寻访红色地标，寻访英雄模范等系列活动；依托“三会一课”、主题党日活动等形式，6月22日，召开“忆历史、感党恩、听党话、跟党走”座谈会活动，向离退休党员代表颁发了“光荣在党50年”纪念章，党员代表围绕建党100周年畅谈感想，退休党员马友德结合抗日战争经历，畅谈了心声感受。马小平、魏时芳、黄广慧等分别以题为《知其史方能激其志，激其志方能尽其责》、《从百年党建中汲取丰厚养分》、《红船精神》讲了生动活泼的党课，全体党员职工深受启发，各支部书记也在所在支部讲了党课。4名党员赴延安接受党史学习教育。</w:t>
      </w:r>
    </w:p>
    <w:p>
      <w:pPr>
        <w:ind w:firstLine="640" w:firstLineChars="200"/>
        <w:rPr>
          <w:rFonts w:ascii="仿宋_GB2312" w:eastAsia="仿宋_GB2312"/>
          <w:sz w:val="32"/>
          <w:szCs w:val="32"/>
        </w:rPr>
      </w:pPr>
      <w:r>
        <w:rPr>
          <w:rFonts w:hint="eastAsia" w:ascii="仿宋_GB2312" w:eastAsia="仿宋_GB2312"/>
          <w:sz w:val="32"/>
          <w:szCs w:val="32"/>
        </w:rPr>
        <w:t>（5）廉政建设不放松</w:t>
      </w:r>
    </w:p>
    <w:p>
      <w:pPr>
        <w:ind w:firstLine="640" w:firstLineChars="200"/>
        <w:rPr>
          <w:rFonts w:ascii="仿宋_GB2312" w:eastAsia="仿宋_GB2312"/>
          <w:sz w:val="32"/>
          <w:szCs w:val="32"/>
        </w:rPr>
      </w:pPr>
      <w:r>
        <w:rPr>
          <w:rFonts w:hint="eastAsia" w:ascii="仿宋_GB2312" w:eastAsia="仿宋_GB2312"/>
          <w:sz w:val="32"/>
          <w:szCs w:val="32"/>
        </w:rPr>
        <w:t>党总支与各科室签订了《党风廉政建设责任书》和《承诺书》，形成了“条块结合，无缝对接，一级抓一级，层层抓落实的工作格局”。</w:t>
      </w:r>
    </w:p>
    <w:p>
      <w:pPr>
        <w:ind w:firstLine="640" w:firstLineChars="200"/>
        <w:rPr>
          <w:rFonts w:ascii="仿宋_GB2312" w:eastAsia="仿宋_GB2312"/>
          <w:sz w:val="32"/>
          <w:szCs w:val="32"/>
        </w:rPr>
      </w:pPr>
      <w:r>
        <w:rPr>
          <w:rFonts w:hint="eastAsia" w:ascii="仿宋_GB2312" w:eastAsia="仿宋_GB2312"/>
          <w:sz w:val="32"/>
          <w:szCs w:val="32"/>
        </w:rPr>
        <w:t>抓“三重一大”决策，坚持疗养院重大事项的职工参与，专家论证，合法性审查和集体讨论决定，形成了党总支会和办公会的决策机制，强化对领导干部权力的制约和监督，抓好源头治理。</w:t>
      </w:r>
    </w:p>
    <w:p>
      <w:pPr>
        <w:ind w:firstLine="640" w:firstLineChars="200"/>
        <w:rPr>
          <w:rFonts w:ascii="仿宋_GB2312" w:eastAsia="仿宋_GB2312"/>
          <w:sz w:val="32"/>
          <w:szCs w:val="32"/>
        </w:rPr>
      </w:pPr>
      <w:r>
        <w:rPr>
          <w:rFonts w:hint="eastAsia" w:ascii="仿宋_GB2312" w:eastAsia="仿宋_GB2312"/>
          <w:sz w:val="32"/>
          <w:szCs w:val="32"/>
        </w:rPr>
        <w:t>严格执行中央“八项规定”、省委“十项规定”的贯彻落实，全年杜绝公车私用，严格财务审批，严格办公费支出，未发现不良违纪行为。</w:t>
      </w:r>
    </w:p>
    <w:p>
      <w:pPr>
        <w:ind w:firstLine="640" w:firstLineChars="200"/>
        <w:rPr>
          <w:rFonts w:ascii="仿宋_GB2312" w:eastAsia="仿宋_GB2312"/>
          <w:sz w:val="32"/>
          <w:szCs w:val="32"/>
        </w:rPr>
      </w:pPr>
      <w:r>
        <w:rPr>
          <w:rFonts w:hint="eastAsia" w:ascii="仿宋_GB2312" w:eastAsia="仿宋_GB2312"/>
          <w:sz w:val="32"/>
          <w:szCs w:val="32"/>
        </w:rPr>
        <w:t>5.聚焦“品牌”，推进党建水平提升</w:t>
      </w:r>
    </w:p>
    <w:p>
      <w:pPr>
        <w:ind w:firstLine="640" w:firstLineChars="200"/>
        <w:rPr>
          <w:rFonts w:ascii="仿宋_GB2312" w:eastAsia="仿宋_GB2312"/>
          <w:sz w:val="32"/>
          <w:szCs w:val="32"/>
        </w:rPr>
      </w:pPr>
      <w:r>
        <w:rPr>
          <w:rFonts w:hint="eastAsia" w:ascii="仿宋_GB2312" w:eastAsia="仿宋_GB2312"/>
          <w:sz w:val="32"/>
          <w:szCs w:val="32"/>
        </w:rPr>
        <w:t>按照“一支部一特色、一总支一品牌”的思路，提升了党建工作整体水平。一是建设一个好堡垒。完成了党总支结合换届选举，做到配齐配强、结构合理。二是建立一个好机制。坚持党建工作与各科室业务深度融合，“旗红院美”、“品牌建设”党建+N的有机融合机制，创新创造工作模式，建成全国职工健康管理中心试点单位。三是营造一个好环境。12月15日，省总工会党组书记、提名副主席宋开慧来院调研指导，给予了充分肯定：“成工疗干部职工在党的领导下，聚焦主责意识，坚持政治性、先进性、群众性，立足市场主动作为，精、气、神足，总体工作思路清，有特色、有品牌、有效益，为成工疗提质增效和工运事业发展做出了较大的贡献和探索”。</w:t>
      </w:r>
    </w:p>
    <w:p>
      <w:pPr>
        <w:ind w:firstLine="640" w:firstLineChars="200"/>
        <w:rPr>
          <w:rFonts w:ascii="仿宋_GB2312" w:eastAsia="仿宋_GB2312"/>
          <w:sz w:val="32"/>
          <w:szCs w:val="32"/>
        </w:rPr>
      </w:pPr>
      <w:r>
        <w:rPr>
          <w:rFonts w:hint="eastAsia" w:ascii="仿宋_GB2312" w:eastAsia="仿宋_GB2312"/>
          <w:sz w:val="32"/>
          <w:szCs w:val="32"/>
        </w:rPr>
        <w:t>涌现出了一批先进典型。刘曦等3名同志被省总评为优秀共产党员；邹荣晖等12名同志被院党总支评为优秀共产党员；体检中心支部、疗休养支部被院党总支评为先进基层党组织；尹欣等5名同志被院党总支评为抗疫先进个人；在党史知识竞赛中，疗休养党支部荣获一等奖，体检中心党支部一队荣获二等奖，体检中心党支部二队和行政支部荣获三等奖，充分发挥了党支部的战斗堡垒和党员的先锋模范作用。</w:t>
      </w:r>
    </w:p>
    <w:p>
      <w:pPr>
        <w:ind w:firstLine="640" w:firstLineChars="200"/>
        <w:rPr>
          <w:rFonts w:ascii="仿宋_GB2312" w:eastAsia="仿宋_GB2312"/>
          <w:sz w:val="32"/>
          <w:szCs w:val="32"/>
        </w:rPr>
      </w:pPr>
      <w:r>
        <w:rPr>
          <w:rFonts w:hint="eastAsia" w:ascii="仿宋_GB2312" w:eastAsia="仿宋_GB2312"/>
          <w:sz w:val="32"/>
          <w:szCs w:val="32"/>
        </w:rPr>
        <w:t>（二）主要经济技术指标完成情况</w:t>
      </w:r>
    </w:p>
    <w:p>
      <w:pPr>
        <w:ind w:firstLine="640" w:firstLineChars="200"/>
        <w:rPr>
          <w:rFonts w:ascii="仿宋_GB2312" w:eastAsia="仿宋_GB2312"/>
          <w:sz w:val="32"/>
          <w:szCs w:val="32"/>
        </w:rPr>
      </w:pPr>
      <w:r>
        <w:rPr>
          <w:rFonts w:hint="eastAsia" w:ascii="仿宋_GB2312" w:eastAsia="仿宋_GB2312"/>
          <w:sz w:val="32"/>
          <w:szCs w:val="32"/>
        </w:rPr>
        <w:t>1.主要任务指标完成情况</w:t>
      </w:r>
    </w:p>
    <w:p>
      <w:pPr>
        <w:ind w:firstLine="640" w:firstLineChars="200"/>
        <w:rPr>
          <w:rFonts w:ascii="仿宋_GB2312" w:eastAsia="仿宋_GB2312"/>
          <w:sz w:val="32"/>
          <w:szCs w:val="32"/>
        </w:rPr>
      </w:pPr>
      <w:r>
        <w:rPr>
          <w:rFonts w:hint="eastAsia" w:ascii="仿宋_GB2312" w:eastAsia="仿宋_GB2312"/>
          <w:sz w:val="32"/>
          <w:szCs w:val="32"/>
        </w:rPr>
        <w:t>（1）职工体检：本年度实际完成体检总人数44069人次，与去年同比下降15.73%；本年度实际完成体检总收入4958.07万元，与去年同比下降18.48%。主要原因是受疫情常态化及成都成华本轮疫情影响，团体体检明显减少，部分客户流失。</w:t>
      </w:r>
    </w:p>
    <w:p>
      <w:pPr>
        <w:ind w:firstLine="640" w:firstLineChars="200"/>
        <w:rPr>
          <w:rFonts w:ascii="仿宋_GB2312" w:eastAsia="仿宋_GB2312"/>
          <w:sz w:val="32"/>
          <w:szCs w:val="32"/>
        </w:rPr>
      </w:pPr>
      <w:r>
        <w:rPr>
          <w:rFonts w:hint="eastAsia" w:ascii="仿宋_GB2312" w:eastAsia="仿宋_GB2312"/>
          <w:sz w:val="32"/>
          <w:szCs w:val="32"/>
        </w:rPr>
        <w:t>（2）职工疗休养：本年度实际完成接待休养团队、零星疗养、培训班、体检住宿等 78 期总人数2451人，与去年同比增长73.22%；本年度实际完成疗休养总收入994.22万元，与去年同比增长85.06%。</w:t>
      </w:r>
    </w:p>
    <w:p>
      <w:pPr>
        <w:ind w:firstLine="640" w:firstLineChars="200"/>
        <w:rPr>
          <w:rFonts w:ascii="仿宋_GB2312" w:eastAsia="仿宋_GB2312"/>
          <w:sz w:val="32"/>
          <w:szCs w:val="32"/>
        </w:rPr>
      </w:pPr>
      <w:r>
        <w:rPr>
          <w:rFonts w:hint="eastAsia" w:ascii="仿宋_GB2312" w:eastAsia="仿宋_GB2312"/>
          <w:sz w:val="32"/>
          <w:szCs w:val="32"/>
        </w:rPr>
        <w:t>（3）工会培训：</w:t>
      </w:r>
      <w:r>
        <w:rPr>
          <w:rFonts w:ascii="仿宋_GB2312" w:eastAsia="仿宋_GB2312"/>
          <w:sz w:val="32"/>
          <w:szCs w:val="32"/>
        </w:rPr>
        <w:t>休养楼装修升级改造</w:t>
      </w:r>
      <w:r>
        <w:rPr>
          <w:rFonts w:hint="eastAsia" w:ascii="仿宋_GB2312" w:eastAsia="仿宋_GB2312"/>
          <w:sz w:val="32"/>
          <w:szCs w:val="32"/>
        </w:rPr>
        <w:t>完成后，</w:t>
      </w:r>
      <w:r>
        <w:rPr>
          <w:rFonts w:ascii="仿宋_GB2312" w:eastAsia="仿宋_GB2312"/>
          <w:sz w:val="32"/>
          <w:szCs w:val="32"/>
        </w:rPr>
        <w:t>承接省总培训班2期合计122人。</w:t>
      </w:r>
    </w:p>
    <w:p>
      <w:pPr>
        <w:ind w:firstLine="640" w:firstLineChars="200"/>
        <w:rPr>
          <w:rFonts w:ascii="仿宋_GB2312" w:eastAsia="仿宋_GB2312"/>
          <w:sz w:val="32"/>
          <w:szCs w:val="32"/>
        </w:rPr>
      </w:pPr>
      <w:r>
        <w:rPr>
          <w:rFonts w:hint="eastAsia" w:ascii="仿宋_GB2312" w:eastAsia="仿宋_GB2312"/>
          <w:sz w:val="32"/>
          <w:szCs w:val="32"/>
        </w:rPr>
        <w:t>2.经济指标完成情况</w:t>
      </w:r>
    </w:p>
    <w:p>
      <w:pPr>
        <w:ind w:firstLine="640" w:firstLineChars="200"/>
        <w:rPr>
          <w:rFonts w:ascii="仿宋_GB2312" w:eastAsia="仿宋_GB2312"/>
          <w:sz w:val="32"/>
          <w:szCs w:val="32"/>
        </w:rPr>
      </w:pPr>
      <w:r>
        <w:rPr>
          <w:rFonts w:hint="eastAsia" w:ascii="仿宋_GB2312" w:eastAsia="仿宋_GB2312"/>
          <w:sz w:val="32"/>
          <w:szCs w:val="32"/>
        </w:rPr>
        <w:t>（1）全年财务总收入实际完成7452.47万元，占目标任务8872.7万元的83.99%，与去年同期减少3.93%；</w:t>
      </w:r>
    </w:p>
    <w:p>
      <w:pPr>
        <w:ind w:firstLine="640" w:firstLineChars="200"/>
        <w:rPr>
          <w:rFonts w:ascii="仿宋_GB2312" w:eastAsia="仿宋_GB2312"/>
          <w:sz w:val="32"/>
          <w:szCs w:val="32"/>
        </w:rPr>
      </w:pPr>
      <w:r>
        <w:rPr>
          <w:rFonts w:hint="eastAsia" w:ascii="仿宋_GB2312" w:eastAsia="仿宋_GB2312"/>
          <w:sz w:val="32"/>
          <w:szCs w:val="32"/>
        </w:rPr>
        <w:t>（2）全年收支节余实际完成285.21万元，占目标任务74.78万元的381.39%；</w:t>
      </w:r>
    </w:p>
    <w:p>
      <w:pPr>
        <w:ind w:firstLine="640" w:firstLineChars="200"/>
        <w:rPr>
          <w:rFonts w:ascii="仿宋_GB2312" w:eastAsia="仿宋_GB2312"/>
          <w:sz w:val="32"/>
          <w:szCs w:val="32"/>
        </w:rPr>
      </w:pPr>
      <w:r>
        <w:rPr>
          <w:rFonts w:hint="eastAsia" w:ascii="仿宋_GB2312" w:eastAsia="仿宋_GB2312"/>
          <w:sz w:val="32"/>
          <w:szCs w:val="32"/>
        </w:rPr>
        <w:t>（3）资产保值增值率实际完成104.22%，占目标任务112.55%的92.59%；</w:t>
      </w:r>
    </w:p>
    <w:p>
      <w:pPr>
        <w:ind w:firstLine="640" w:firstLineChars="200"/>
        <w:rPr>
          <w:rFonts w:ascii="仿宋_GB2312" w:eastAsia="仿宋_GB2312"/>
          <w:sz w:val="32"/>
          <w:szCs w:val="32"/>
        </w:rPr>
      </w:pPr>
      <w:r>
        <w:rPr>
          <w:rFonts w:hint="eastAsia" w:ascii="仿宋_GB2312" w:eastAsia="仿宋_GB2312"/>
          <w:sz w:val="32"/>
          <w:szCs w:val="32"/>
        </w:rPr>
        <w:t>3.分类指标完成情况</w:t>
      </w:r>
    </w:p>
    <w:p>
      <w:pPr>
        <w:ind w:firstLine="640" w:firstLineChars="200"/>
        <w:rPr>
          <w:rFonts w:ascii="仿宋_GB2312" w:eastAsia="仿宋_GB2312"/>
          <w:sz w:val="32"/>
          <w:szCs w:val="32"/>
        </w:rPr>
      </w:pPr>
      <w:r>
        <w:rPr>
          <w:rFonts w:hint="eastAsia" w:ascii="仿宋_GB2312" w:eastAsia="仿宋_GB2312"/>
          <w:sz w:val="32"/>
          <w:szCs w:val="32"/>
        </w:rPr>
        <w:t>（1）体检收入实际完成4958.07万元，完成目标任务6800万元的72.91%，与去年同比下降18.48%。</w:t>
      </w:r>
    </w:p>
    <w:p>
      <w:pPr>
        <w:ind w:firstLine="640" w:firstLineChars="200"/>
        <w:rPr>
          <w:rFonts w:ascii="仿宋_GB2312" w:eastAsia="仿宋_GB2312"/>
          <w:sz w:val="32"/>
          <w:szCs w:val="32"/>
        </w:rPr>
      </w:pPr>
      <w:r>
        <w:rPr>
          <w:rFonts w:hint="eastAsia" w:ascii="仿宋_GB2312" w:eastAsia="仿宋_GB2312"/>
          <w:sz w:val="32"/>
          <w:szCs w:val="32"/>
        </w:rPr>
        <w:t>（2）疗休养收入实际完成994.22万元，完成目标任务1000万元的99.42%，与去年同比增加85.06%。</w:t>
      </w:r>
    </w:p>
    <w:p>
      <w:pPr>
        <w:ind w:firstLine="640" w:firstLineChars="200"/>
        <w:rPr>
          <w:rFonts w:ascii="仿宋_GB2312" w:eastAsia="仿宋_GB2312"/>
          <w:sz w:val="32"/>
          <w:szCs w:val="32"/>
        </w:rPr>
      </w:pPr>
      <w:r>
        <w:rPr>
          <w:rFonts w:hint="eastAsia" w:ascii="仿宋_GB2312" w:eastAsia="仿宋_GB2312"/>
          <w:sz w:val="32"/>
          <w:szCs w:val="32"/>
        </w:rPr>
        <w:t>（3）上缴上级支出：100万元（其中上缴省总事业收入50万元；上缴瑞程达公司投资收益50万元），占目标任务100万元的100%。</w:t>
      </w:r>
    </w:p>
    <w:p>
      <w:pPr>
        <w:ind w:firstLine="640" w:firstLineChars="200"/>
        <w:rPr>
          <w:rFonts w:ascii="仿宋_GB2312" w:eastAsia="仿宋_GB2312"/>
          <w:sz w:val="32"/>
          <w:szCs w:val="32"/>
        </w:rPr>
      </w:pPr>
      <w:r>
        <w:rPr>
          <w:rFonts w:hint="eastAsia" w:ascii="仿宋_GB2312" w:eastAsia="仿宋_GB2312"/>
          <w:sz w:val="32"/>
          <w:szCs w:val="32"/>
        </w:rPr>
        <w:t>4.重大项目完成情况</w:t>
      </w:r>
    </w:p>
    <w:p>
      <w:pPr>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根据四川省总工会关于省总成都工人疗养院休养楼装修升级改造项目的批复（川工字[2019]252号）的要求，依照《中华人民共和国政府采购法》及相关法律、法规的有关规定，在完成可研报告及项目评审、委托招标代理、设计方案及施工图技术审查、招标控制价及控制价评审、监理</w:t>
      </w:r>
      <w:r>
        <w:rPr>
          <w:rFonts w:hint="eastAsia" w:ascii="仿宋_GB2312" w:hAnsi="仿宋_GB2312" w:eastAsia="仿宋_GB2312" w:cs="仿宋_GB2312"/>
          <w:color w:val="000000"/>
          <w:sz w:val="32"/>
          <w:szCs w:val="32"/>
        </w:rPr>
        <w:t>等项目的代理采购招标的基础上，本年度完成了家具、家电、布草杂件等代理采购招标的成交供应商单位并签订了书面合同。本项目实际完成总投资金为1908.88万元。</w:t>
      </w:r>
    </w:p>
    <w:p>
      <w:pPr>
        <w:pStyle w:val="32"/>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本项目施工单位为成都建工装饰装修有限公司，于2020年10月10日开工，计划工期为6个月。施工过程中因功能调整，技术变更、施工图修改、疫情、环保等影响因素，施工于2021年月5月中旬竣工。</w:t>
      </w:r>
    </w:p>
    <w:p>
      <w:pPr>
        <w:pStyle w:val="32"/>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8月18日，组织休养楼（治疗楼）装修升级改造项目工程竣工验收会。项目设计单位、施工单位、监理单位、勘察单位、跟审单位等到现场参加实地验收工作，验收小组会一致认为，休养楼（治疗楼）装修升级改造工程符合设计及相关质量验收规范要求，同意通过工程竣工验收。综合验收组全程监督并出具建设工程竣工验收监督意见。</w:t>
      </w:r>
    </w:p>
    <w:p>
      <w:pPr>
        <w:pStyle w:val="32"/>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本项目建成后建筑面积为3364平方米。包括根据使用功能调整，主楼建筑面积2067 平方米，新增钢结构辅助用房建筑面积1297平方米。</w:t>
      </w:r>
    </w:p>
    <w:p>
      <w:pPr>
        <w:pStyle w:val="32"/>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本项目建成后开放床位108张。包括客房改建1～5层有客房59间，双床房49间98张床位，大床房10间10张床位。需要说明的是增加消防通道，在1～5层增设消防安全通道，故减少双床房5间10张床位。</w:t>
      </w:r>
    </w:p>
    <w:p>
      <w:pPr>
        <w:pStyle w:val="32"/>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本项目建成后新增钢结构多功能厅建筑面积为 290平方米。</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（三）疫情防控</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1.流行病学调查</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本年度实际完成职工体温筛查及流行病学调查44069人次。</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2.预检分诊及核酸采样</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成都本轮本土疫情中，5批次24人次参加区卫健委组织的应急核酸检测工作，双福路采样点完成核酸采样近2万人次。先后派出40余名医务人员支援成华区卫健委组织的疫苗接种工作，预检分诊、接种新冠疫苗累计20余万人次。</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3.核酸检测及疫苗接种</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本年度实际完成在岗职工核酸检测共31批次2158人次，全部为阴性。按本地疫情的要求，完成在岗职工第1</w:t>
      </w:r>
      <w:r>
        <w:rPr>
          <w:rFonts w:ascii="仿宋_GB2312" w:hAnsi="仿宋_GB2312" w:eastAsia="仿宋_GB2312" w:cs="仿宋_GB2312"/>
          <w:color w:val="000000"/>
          <w:sz w:val="32"/>
          <w:szCs w:val="32"/>
        </w:rPr>
        <w:t>针</w:t>
      </w:r>
      <w:r>
        <w:rPr>
          <w:rFonts w:hint="eastAsia" w:ascii="仿宋_GB2312" w:hAnsi="仿宋_GB2312" w:eastAsia="仿宋_GB2312" w:cs="仿宋_GB2312"/>
          <w:color w:val="000000"/>
          <w:sz w:val="32"/>
          <w:szCs w:val="32"/>
        </w:rPr>
        <w:t>和第2</w:t>
      </w:r>
      <w:r>
        <w:rPr>
          <w:rFonts w:ascii="仿宋_GB2312" w:hAnsi="仿宋_GB2312" w:eastAsia="仿宋_GB2312" w:cs="仿宋_GB2312"/>
          <w:color w:val="000000"/>
          <w:sz w:val="32"/>
          <w:szCs w:val="32"/>
        </w:rPr>
        <w:t>针接种疫苗</w:t>
      </w:r>
      <w:r>
        <w:rPr>
          <w:rFonts w:hint="eastAsia" w:ascii="仿宋_GB2312" w:hAnsi="仿宋_GB2312" w:eastAsia="仿宋_GB2312" w:cs="仿宋_GB2312"/>
          <w:color w:val="000000"/>
          <w:sz w:val="32"/>
          <w:szCs w:val="32"/>
        </w:rPr>
        <w:t>100%，完成</w:t>
      </w:r>
      <w:r>
        <w:rPr>
          <w:rFonts w:ascii="仿宋_GB2312" w:hAnsi="仿宋_GB2312" w:eastAsia="仿宋_GB2312" w:cs="仿宋_GB2312"/>
          <w:color w:val="000000"/>
          <w:sz w:val="32"/>
          <w:szCs w:val="32"/>
        </w:rPr>
        <w:t>疫苗加强针</w:t>
      </w:r>
      <w:r>
        <w:rPr>
          <w:rFonts w:hint="eastAsia" w:ascii="仿宋_GB2312" w:hAnsi="仿宋_GB2312" w:eastAsia="仿宋_GB2312" w:cs="仿宋_GB2312"/>
          <w:color w:val="000000"/>
          <w:sz w:val="32"/>
          <w:szCs w:val="32"/>
        </w:rPr>
        <w:t>123</w:t>
      </w:r>
      <w:r>
        <w:rPr>
          <w:rFonts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rPr>
        <w:t>次。</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4.技术培训</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完成新型冠状病毒采样技术培训14人，新冠疫苗接种技术培训51人。</w:t>
      </w:r>
    </w:p>
    <w:p>
      <w:pPr>
        <w:pStyle w:val="2"/>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一封来自区卫健局的感谢信，对日夜奋战、坚守一线的医务人员表示了崇高的敬意和感谢，体现了工疗人的使命和担当。</w:t>
      </w:r>
    </w:p>
    <w:p>
      <w:pPr>
        <w:pStyle w:val="2"/>
        <w:ind w:firstLine="643" w:firstLineChars="200"/>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三、机构设置情况</w:t>
      </w:r>
    </w:p>
    <w:p>
      <w:pPr>
        <w:pStyle w:val="2"/>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四川省总工会成都工人疗养院由6个内设部门组成，分别是：办公室、财务科、总务科、体检中心、疗休养中心、营养餐厅。</w:t>
      </w:r>
    </w:p>
    <w:p>
      <w:pPr>
        <w:ind w:firstLine="640" w:firstLineChars="200"/>
        <w:rPr>
          <w:rFonts w:ascii="仿宋_GB2312" w:hAnsi="仿宋_GB2312" w:eastAsia="仿宋_GB2312" w:cs="仿宋_GB2312"/>
          <w:color w:val="000000"/>
          <w:sz w:val="32"/>
          <w:szCs w:val="32"/>
        </w:rPr>
      </w:pPr>
    </w:p>
    <w:p>
      <w:pPr>
        <w:pStyle w:val="32"/>
        <w:spacing w:line="560" w:lineRule="exact"/>
        <w:ind w:firstLine="640" w:firstLineChars="200"/>
        <w:rPr>
          <w:rFonts w:ascii="仿宋_GB2312" w:hAnsi="仿宋_GB2312" w:eastAsia="仿宋_GB2312" w:cs="仿宋_GB2312"/>
          <w:color w:val="000000"/>
          <w:sz w:val="32"/>
          <w:szCs w:val="32"/>
        </w:rPr>
      </w:pPr>
    </w:p>
    <w:p>
      <w:pPr>
        <w:widowControl/>
        <w:jc w:val="left"/>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6"/>
          <w:rFonts w:ascii="黑体" w:hAnsi="黑体" w:eastAsia="黑体"/>
          <w:b w:val="0"/>
          <w:bCs/>
        </w:rPr>
      </w:pPr>
      <w:bookmarkStart w:id="17" w:name="_Toc15396602"/>
      <w:bookmarkStart w:id="18" w:name="_Toc15377204"/>
      <w:r>
        <w:rPr>
          <w:rFonts w:hint="eastAsia" w:ascii="黑体" w:hAnsi="黑体" w:eastAsia="黑体"/>
          <w:b w:val="0"/>
        </w:rPr>
        <w:t xml:space="preserve">  第二部分 2021年度</w:t>
      </w:r>
      <w:r>
        <w:rPr>
          <w:rStyle w:val="26"/>
          <w:rFonts w:hint="eastAsia" w:ascii="黑体" w:hAnsi="黑体" w:eastAsia="黑体"/>
          <w:b w:val="0"/>
          <w:bCs/>
        </w:rPr>
        <w:t>单位决算情况说明</w:t>
      </w:r>
      <w:bookmarkEnd w:id="17"/>
      <w:bookmarkEnd w:id="18"/>
    </w:p>
    <w:p/>
    <w:p>
      <w:pPr>
        <w:pStyle w:val="25"/>
        <w:numPr>
          <w:ilvl w:val="0"/>
          <w:numId w:val="2"/>
        </w:numPr>
        <w:spacing w:line="600" w:lineRule="exact"/>
        <w:ind w:firstLineChars="0"/>
        <w:outlineLvl w:val="1"/>
        <w:rPr>
          <w:rStyle w:val="27"/>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2021年度收、支总计127.74万元。与2020年相比，收、支总计各增加11.40万元，增长9.79</w:t>
      </w:r>
      <w:r>
        <w:rPr>
          <w:rFonts w:ascii="仿宋" w:hAnsi="仿宋" w:eastAsia="仿宋"/>
          <w:sz w:val="32"/>
          <w:szCs w:val="32"/>
        </w:rPr>
        <w:t>%</w:t>
      </w:r>
      <w:r>
        <w:rPr>
          <w:rFonts w:hint="eastAsia" w:ascii="仿宋" w:hAnsi="仿宋" w:eastAsia="仿宋"/>
          <w:sz w:val="32"/>
          <w:szCs w:val="32"/>
        </w:rPr>
        <w:t>。主要变动原因是增发建党100周年离休人员一个月工资、增发离休人员生活补助及增加在职人员养老保险和职业年金。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7"/>
        <w:spacing w:before="93"/>
      </w:pPr>
      <w:r>
        <w:drawing>
          <wp:inline distT="0" distB="0" distL="114300" distR="114300">
            <wp:extent cx="5386705" cy="2872740"/>
            <wp:effectExtent l="4445" t="4445" r="19050" b="18415"/>
            <wp:docPr id="2253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spacing w:before="93"/>
      </w:pPr>
    </w:p>
    <w:p>
      <w:pPr>
        <w:pStyle w:val="25"/>
        <w:numPr>
          <w:ilvl w:val="0"/>
          <w:numId w:val="2"/>
        </w:numPr>
        <w:spacing w:line="600" w:lineRule="exact"/>
        <w:ind w:firstLineChars="0"/>
        <w:outlineLvl w:val="1"/>
        <w:rPr>
          <w:rStyle w:val="27"/>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7"/>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21年本年收入合计127.74万元，其中：一般公共预算财政拨款收入127.74万元，占100%；</w:t>
      </w:r>
      <w:r>
        <w:rPr>
          <w:rFonts w:hint="eastAsia" w:ascii="仿宋_GB2312" w:hAnsi="仿宋" w:eastAsia="仿宋_GB2312"/>
          <w:sz w:val="32"/>
          <w:szCs w:val="32"/>
        </w:rPr>
        <w:t>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pPr>
        <w:pStyle w:val="7"/>
        <w:spacing w:before="93"/>
      </w:pPr>
      <w:r>
        <w:drawing>
          <wp:inline distT="0" distB="0" distL="114300" distR="114300">
            <wp:extent cx="5507355" cy="3193415"/>
            <wp:effectExtent l="4445" t="4445" r="5080" b="17780"/>
            <wp:docPr id="1332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7"/>
        <w:spacing w:before="93"/>
      </w:pPr>
    </w:p>
    <w:p>
      <w:pPr>
        <w:pStyle w:val="25"/>
        <w:numPr>
          <w:ilvl w:val="0"/>
          <w:numId w:val="2"/>
        </w:numPr>
        <w:spacing w:line="600" w:lineRule="exact"/>
        <w:ind w:firstLineChars="0"/>
        <w:outlineLvl w:val="1"/>
        <w:rPr>
          <w:rStyle w:val="27"/>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7"/>
          <w:rFonts w:hint="eastAsia" w:ascii="黑体" w:hAnsi="黑体" w:eastAsia="黑体"/>
          <w:b w:val="0"/>
        </w:rPr>
        <w:t>出决算情况说明</w:t>
      </w:r>
      <w:bookmarkEnd w:id="23"/>
      <w:bookmarkEnd w:id="24"/>
    </w:p>
    <w:p>
      <w:pPr>
        <w:spacing w:line="600" w:lineRule="exact"/>
        <w:ind w:firstLine="640" w:firstLineChars="200"/>
        <w:outlineLvl w:val="1"/>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21年本年支出合计127.74万元，其中：基本支出127.74万元，占100</w:t>
      </w:r>
      <w:r>
        <w:rPr>
          <w:rFonts w:ascii="仿宋" w:hAnsi="仿宋" w:eastAsia="仿宋"/>
          <w:sz w:val="32"/>
          <w:szCs w:val="32"/>
        </w:rPr>
        <w:t>%</w:t>
      </w:r>
      <w:r>
        <w:rPr>
          <w:rFonts w:hint="eastAsia" w:ascii="仿宋" w:hAnsi="仿宋" w:eastAsia="仿宋"/>
          <w:sz w:val="32"/>
          <w:szCs w:val="32"/>
        </w:rPr>
        <w:t>；</w:t>
      </w:r>
      <w:r>
        <w:rPr>
          <w:rFonts w:hint="eastAsia" w:ascii="仿宋_GB2312" w:hAnsi="仿宋" w:eastAsia="仿宋_GB2312"/>
          <w:sz w:val="32"/>
          <w:szCs w:val="32"/>
        </w:rPr>
        <w:t>项目支出0万元，占0%；上缴上级支出0万元，占0%；经营支出0万元，占0%。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7"/>
        <w:spacing w:before="93"/>
      </w:pPr>
      <w:r>
        <w:drawing>
          <wp:inline distT="0" distB="0" distL="114300" distR="114300">
            <wp:extent cx="5379085" cy="2842260"/>
            <wp:effectExtent l="4445" t="4445" r="11430"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7"/>
        <w:spacing w:before="93"/>
      </w:pPr>
    </w:p>
    <w:p>
      <w:pPr>
        <w:spacing w:line="600" w:lineRule="exact"/>
        <w:ind w:firstLine="640" w:firstLineChars="200"/>
        <w:outlineLvl w:val="1"/>
        <w:rPr>
          <w:rStyle w:val="27"/>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5"/>
      <w:bookmarkEnd w:id="2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21年财政拨款收、支总计127.74万元。与</w:t>
      </w:r>
      <w:r>
        <w:rPr>
          <w:rFonts w:ascii="仿宋" w:hAnsi="仿宋" w:eastAsia="仿宋"/>
          <w:sz w:val="32"/>
          <w:szCs w:val="32"/>
        </w:rPr>
        <w:t>20</w:t>
      </w:r>
      <w:r>
        <w:rPr>
          <w:rFonts w:hint="eastAsia" w:ascii="仿宋" w:hAnsi="仿宋" w:eastAsia="仿宋"/>
          <w:sz w:val="32"/>
          <w:szCs w:val="32"/>
        </w:rPr>
        <w:t>20年相比，财政拨款收、支总计各增加11.40万元，增长9.79</w:t>
      </w:r>
      <w:r>
        <w:rPr>
          <w:rFonts w:ascii="仿宋" w:hAnsi="仿宋" w:eastAsia="仿宋"/>
          <w:sz w:val="32"/>
          <w:szCs w:val="32"/>
        </w:rPr>
        <w:t>%</w:t>
      </w:r>
      <w:r>
        <w:rPr>
          <w:rFonts w:hint="eastAsia" w:ascii="仿宋" w:hAnsi="仿宋" w:eastAsia="仿宋"/>
          <w:sz w:val="32"/>
          <w:szCs w:val="32"/>
        </w:rPr>
        <w:t>。主要变动原因是增发建党100周年离休人员一个月工资、增发离休人员生活补助及增加在职人员养老保险和职业年金。</w:t>
      </w:r>
    </w:p>
    <w:p>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w:t>
      </w:r>
    </w:p>
    <w:p>
      <w:pPr>
        <w:pStyle w:val="7"/>
        <w:spacing w:before="93"/>
      </w:pPr>
      <w:r>
        <w:drawing>
          <wp:inline distT="0" distB="0" distL="114300" distR="114300">
            <wp:extent cx="5372100" cy="3679190"/>
            <wp:effectExtent l="4445" t="4445" r="18415" b="19685"/>
            <wp:docPr id="819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27" w:name="_Toc15377209"/>
      <w:bookmarkStart w:id="28" w:name="_Toc15396607"/>
    </w:p>
    <w:p>
      <w:pPr>
        <w:pStyle w:val="7"/>
        <w:spacing w:before="93"/>
      </w:pPr>
    </w:p>
    <w:p>
      <w:pPr>
        <w:spacing w:line="600" w:lineRule="exact"/>
        <w:ind w:firstLine="640" w:firstLineChars="200"/>
        <w:outlineLvl w:val="1"/>
        <w:rPr>
          <w:rStyle w:val="27"/>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21年一般公共预算财政拨款支出127.74万元，占本年支出合计的100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20年相比，一般公共预算财政拨款支出增加11.40万元，增长9.79</w:t>
      </w:r>
      <w:r>
        <w:rPr>
          <w:rFonts w:ascii="仿宋" w:hAnsi="仿宋" w:eastAsia="仿宋"/>
          <w:sz w:val="32"/>
          <w:szCs w:val="32"/>
        </w:rPr>
        <w:t>%</w:t>
      </w:r>
      <w:r>
        <w:rPr>
          <w:rFonts w:hint="eastAsia" w:ascii="仿宋" w:hAnsi="仿宋" w:eastAsia="仿宋"/>
          <w:sz w:val="32"/>
          <w:szCs w:val="32"/>
        </w:rPr>
        <w:t>。主要变动原因是增发建党100周年离休人员一个月工资、增发离休人员生活补助及增加在职人员养老保险和职业年金。</w:t>
      </w:r>
    </w:p>
    <w:p>
      <w:pPr>
        <w:spacing w:line="600" w:lineRule="exact"/>
        <w:ind w:firstLine="640" w:firstLineChars="200"/>
        <w:rPr>
          <w:rFonts w:ascii="仿宋" w:hAnsi="仿宋" w:eastAsia="仿宋"/>
          <w:color w:val="FF0000"/>
          <w:sz w:val="32"/>
          <w:szCs w:val="32"/>
        </w:rPr>
      </w:pPr>
      <w:r>
        <w:rPr>
          <w:rFonts w:hint="eastAsia" w:ascii="仿宋" w:hAnsi="仿宋" w:eastAsia="仿宋"/>
          <w:sz w:val="32"/>
          <w:szCs w:val="32"/>
        </w:rPr>
        <w:t>（图5：一般公共预算财政拨款支出决算变动情况）</w:t>
      </w:r>
    </w:p>
    <w:p>
      <w:pPr>
        <w:pStyle w:val="7"/>
        <w:spacing w:before="93"/>
      </w:pPr>
      <w:r>
        <w:drawing>
          <wp:inline distT="0" distB="0" distL="114300" distR="114300">
            <wp:extent cx="5022215" cy="3665220"/>
            <wp:effectExtent l="4445" t="4445" r="17780"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7"/>
        <w:spacing w:before="93"/>
      </w:pPr>
    </w:p>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firstLineChars="200"/>
        <w:outlineLvl w:val="1"/>
        <w:rPr>
          <w:rFonts w:ascii="仿宋" w:hAnsi="仿宋" w:eastAsia="仿宋"/>
          <w:b/>
          <w:color w:val="FF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21年一般公共预算财政拨款支出127.74万元，主要用于以下方面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hint="eastAsia" w:ascii="仿宋" w:hAnsi="仿宋" w:eastAsia="仿宋"/>
          <w:b/>
          <w:sz w:val="32"/>
          <w:szCs w:val="32"/>
        </w:rPr>
        <w:t>教育支出（类）</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支出127.74万元，占100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7"/>
        <w:spacing w:before="93"/>
      </w:pPr>
      <w:r>
        <w:drawing>
          <wp:inline distT="0" distB="0" distL="114300" distR="114300">
            <wp:extent cx="5369560" cy="3009265"/>
            <wp:effectExtent l="4445" t="5080" r="5715" b="18415"/>
            <wp:docPr id="41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7"/>
        <w:spacing w:before="93"/>
      </w:pPr>
    </w:p>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7444"/>
      <w:bookmarkStart w:id="33" w:name="_Toc15377213"/>
      <w:bookmarkStart w:id="34" w:name="_Toc15378460"/>
      <w:r>
        <w:rPr>
          <w:rFonts w:hint="eastAsia" w:ascii="仿宋" w:hAnsi="仿宋" w:eastAsia="仿宋"/>
          <w:b/>
          <w:sz w:val="32"/>
          <w:szCs w:val="32"/>
        </w:rPr>
        <w:t>2021年一般公共预算支出决算数为127.74</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2"/>
      <w:bookmarkEnd w:id="33"/>
      <w:bookmarkEnd w:id="34"/>
    </w:p>
    <w:p>
      <w:pPr>
        <w:spacing w:line="600" w:lineRule="exact"/>
        <w:ind w:firstLine="643" w:firstLineChars="200"/>
        <w:outlineLvl w:val="2"/>
        <w:rPr>
          <w:rFonts w:ascii="仿宋" w:hAnsi="仿宋" w:eastAsia="仿宋"/>
          <w:sz w:val="32"/>
          <w:szCs w:val="32"/>
        </w:rPr>
      </w:pPr>
      <w:bookmarkStart w:id="35" w:name="_Toc80277866"/>
      <w:r>
        <w:rPr>
          <w:rStyle w:val="16"/>
          <w:rFonts w:hint="eastAsia" w:ascii="仿宋" w:hAnsi="仿宋" w:eastAsia="仿宋"/>
          <w:bCs/>
          <w:sz w:val="32"/>
          <w:szCs w:val="32"/>
        </w:rPr>
        <w:t>1.社会保障和就业（类）行政事业单位养老支出（款）事业单位离退休（项）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支出决算为58.02万元，完成预算100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bookmarkEnd w:id="35"/>
    </w:p>
    <w:p>
      <w:pPr>
        <w:spacing w:line="600" w:lineRule="exact"/>
        <w:ind w:firstLine="643" w:firstLineChars="200"/>
        <w:outlineLvl w:val="2"/>
        <w:rPr>
          <w:rFonts w:ascii="仿宋" w:hAnsi="仿宋" w:eastAsia="仿宋"/>
          <w:sz w:val="32"/>
          <w:szCs w:val="32"/>
        </w:rPr>
      </w:pPr>
      <w:bookmarkStart w:id="36" w:name="_Toc80277867"/>
      <w:r>
        <w:rPr>
          <w:rStyle w:val="16"/>
          <w:rFonts w:hint="eastAsia" w:ascii="仿宋" w:hAnsi="仿宋" w:eastAsia="仿宋"/>
          <w:bCs/>
          <w:sz w:val="32"/>
          <w:szCs w:val="32"/>
        </w:rPr>
        <w:t>2.社会保障和就业（类）行政事业单位养老支出（款）机关事业单位基本养老保险缴费支出（项）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支出决算为32.76万元，完成预算100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bookmarkEnd w:id="36"/>
    </w:p>
    <w:p>
      <w:pPr>
        <w:spacing w:line="600" w:lineRule="exact"/>
        <w:ind w:firstLine="643" w:firstLineChars="200"/>
        <w:outlineLvl w:val="2"/>
        <w:rPr>
          <w:rFonts w:ascii="仿宋" w:hAnsi="仿宋" w:eastAsia="仿宋"/>
          <w:sz w:val="32"/>
          <w:szCs w:val="32"/>
        </w:rPr>
      </w:pPr>
      <w:bookmarkStart w:id="37" w:name="_Toc80277868"/>
      <w:r>
        <w:rPr>
          <w:rStyle w:val="16"/>
          <w:rFonts w:hint="eastAsia" w:ascii="仿宋" w:hAnsi="仿宋" w:eastAsia="仿宋"/>
          <w:bCs/>
          <w:sz w:val="32"/>
          <w:szCs w:val="32"/>
        </w:rPr>
        <w:t>3.社会保障和就业（类）行政事业单位养老支出（款）事机关事业单位职业年金缴费支出（项）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支出决算为16.38万元，完成预算100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bookmarkEnd w:id="37"/>
    </w:p>
    <w:p>
      <w:pPr>
        <w:spacing w:line="600" w:lineRule="exact"/>
        <w:ind w:firstLine="643" w:firstLineChars="200"/>
        <w:outlineLvl w:val="2"/>
      </w:pPr>
      <w:bookmarkStart w:id="38" w:name="_Toc80277869"/>
      <w:r>
        <w:rPr>
          <w:rStyle w:val="16"/>
          <w:rFonts w:hint="eastAsia" w:ascii="仿宋" w:hAnsi="仿宋" w:eastAsia="仿宋"/>
          <w:bCs/>
          <w:sz w:val="32"/>
          <w:szCs w:val="32"/>
        </w:rPr>
        <w:t>4.社会保障和就业（类）其他社会保障和就业支出（款）其他社会保障和就业支出（项）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支出决算为20.58万元，完成预算100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bookmarkEnd w:id="38"/>
    </w:p>
    <w:p>
      <w:pPr>
        <w:tabs>
          <w:tab w:val="right" w:pos="8306"/>
        </w:tabs>
        <w:spacing w:line="600" w:lineRule="exact"/>
        <w:ind w:firstLine="640"/>
        <w:outlineLvl w:val="1"/>
        <w:rPr>
          <w:rStyle w:val="27"/>
        </w:rPr>
      </w:pPr>
      <w:bookmarkStart w:id="39" w:name="_Toc15396608"/>
      <w:bookmarkStart w:id="4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9"/>
      <w:bookmarkEnd w:id="40"/>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21年一般公共预算财政拨款基本支出127.74万元，其中：</w:t>
      </w:r>
    </w:p>
    <w:p>
      <w:pPr>
        <w:spacing w:line="600" w:lineRule="exact"/>
        <w:ind w:firstLine="645"/>
        <w:rPr>
          <w:rFonts w:ascii="仿宋_GB2312" w:hAnsi="仿宋" w:eastAsia="仿宋_GB2312"/>
          <w:sz w:val="32"/>
          <w:szCs w:val="32"/>
        </w:rPr>
      </w:pPr>
      <w:r>
        <w:rPr>
          <w:rFonts w:hint="eastAsia" w:ascii="仿宋" w:hAnsi="仿宋" w:eastAsia="仿宋"/>
          <w:sz w:val="32"/>
          <w:szCs w:val="32"/>
        </w:rPr>
        <w:t>人员经费125.86万元，主要包括：</w:t>
      </w:r>
      <w:r>
        <w:rPr>
          <w:rFonts w:hint="eastAsia" w:ascii="仿宋_GB2312" w:hAnsi="仿宋" w:eastAsia="仿宋_GB2312"/>
          <w:sz w:val="32"/>
          <w:szCs w:val="32"/>
        </w:rPr>
        <w:t>机关事业单位基本养老保险缴费、职业年金缴费、离退休费、其他对个人和家庭的补助支出。</w:t>
      </w:r>
    </w:p>
    <w:p>
      <w:pPr>
        <w:spacing w:line="600" w:lineRule="exact"/>
        <w:ind w:firstLine="645"/>
      </w:pPr>
      <w:r>
        <w:rPr>
          <w:rFonts w:hint="eastAsia" w:ascii="仿宋" w:hAnsi="仿宋" w:eastAsia="仿宋"/>
          <w:sz w:val="32"/>
          <w:szCs w:val="32"/>
        </w:rPr>
        <w:t>公用经费1.88万元，主要包括：离休人员公用经费</w:t>
      </w:r>
      <w:r>
        <w:rPr>
          <w:rFonts w:hint="eastAsia" w:ascii="仿宋_GB2312" w:hAnsi="仿宋" w:eastAsia="仿宋_GB2312"/>
          <w:sz w:val="32"/>
          <w:szCs w:val="32"/>
        </w:rPr>
        <w:t>。</w:t>
      </w:r>
    </w:p>
    <w:p>
      <w:pPr>
        <w:spacing w:line="600" w:lineRule="exact"/>
        <w:ind w:firstLine="640"/>
        <w:outlineLvl w:val="1"/>
        <w:rPr>
          <w:rStyle w:val="27"/>
          <w:rFonts w:ascii="黑体" w:hAnsi="黑体" w:eastAsia="黑体"/>
          <w:b w:val="0"/>
        </w:rPr>
      </w:pPr>
      <w:bookmarkStart w:id="41" w:name="_Toc15396609"/>
      <w:bookmarkStart w:id="42"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1"/>
      <w:bookmarkEnd w:id="42"/>
    </w:p>
    <w:p>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pPr>
        <w:spacing w:line="600" w:lineRule="exact"/>
        <w:ind w:firstLine="640"/>
        <w:rPr>
          <w:rFonts w:ascii="仿宋" w:hAnsi="仿宋" w:eastAsia="仿宋"/>
          <w:color w:val="FF0000"/>
          <w:sz w:val="32"/>
          <w:szCs w:val="32"/>
        </w:rPr>
      </w:pPr>
      <w:r>
        <w:rPr>
          <w:rFonts w:hint="eastAsia" w:ascii="仿宋_GB2312" w:hAnsi="仿宋" w:eastAsia="仿宋_GB2312"/>
          <w:sz w:val="32"/>
          <w:szCs w:val="32"/>
        </w:rPr>
        <w:t>2021年“三公”经费财政拨款支出决算中，因公出国（境）费支出决算0万元，占0%；公务用车购置及运行维护费支出决算0万元，占0%；公务接待费支出决算0万元，占0%。具体情况如下：</w:t>
      </w:r>
    </w:p>
    <w:p>
      <w:pPr>
        <w:spacing w:line="600" w:lineRule="exact"/>
        <w:ind w:firstLine="640"/>
        <w:rPr>
          <w:rFonts w:ascii="仿宋_GB2312" w:eastAsia="仿宋_GB2312"/>
          <w:color w:val="FF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hAnsi="仿宋" w:eastAsia="仿宋_GB2312"/>
          <w:sz w:val="32"/>
          <w:szCs w:val="32"/>
        </w:rPr>
        <w:t>全年安排因公出国（境）团组0次，出国（境）0人。因公出国（境）支出决算与2020年相比无增减变化。</w:t>
      </w:r>
    </w:p>
    <w:p>
      <w:pPr>
        <w:spacing w:line="600" w:lineRule="exact"/>
        <w:ind w:firstLine="640"/>
        <w:rPr>
          <w:rFonts w:ascii="仿宋_GB2312" w:hAnsi="仿宋"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Fonts w:hint="eastAsia" w:ascii="仿宋_GB2312" w:hAnsi="仿宋" w:eastAsia="仿宋_GB2312"/>
          <w:sz w:val="32"/>
          <w:szCs w:val="32"/>
        </w:rPr>
        <w:t>。因公务用车购置及运行维护费支出决算与2020年相比无增减变化。</w:t>
      </w:r>
    </w:p>
    <w:p>
      <w:pPr>
        <w:spacing w:line="600" w:lineRule="exact"/>
        <w:ind w:firstLine="640"/>
      </w:pPr>
      <w:r>
        <w:rPr>
          <w:rFonts w:hint="eastAsia" w:ascii="仿宋_GB2312" w:hAnsi="仿宋" w:eastAsia="仿宋_GB2312"/>
          <w:sz w:val="32"/>
          <w:szCs w:val="32"/>
        </w:rPr>
        <w:t>其中：</w:t>
      </w:r>
      <w:r>
        <w:rPr>
          <w:rFonts w:hint="eastAsia" w:ascii="仿宋_GB2312" w:hAnsi="仿宋" w:eastAsia="仿宋_GB2312"/>
          <w:b/>
          <w:bCs/>
          <w:sz w:val="32"/>
          <w:szCs w:val="32"/>
        </w:rPr>
        <w:t>公务用车购置支出</w:t>
      </w:r>
      <w:r>
        <w:rPr>
          <w:rFonts w:hint="eastAsia" w:ascii="仿宋_GB2312" w:hAnsi="仿宋" w:eastAsia="仿宋_GB2312"/>
          <w:sz w:val="32"/>
          <w:szCs w:val="32"/>
        </w:rPr>
        <w:t>0万元。全年按规定更新购置公务用车0辆，其中：轿车0辆、金额0万元，越野车0辆、金额0万元，载客汽车0辆、金额0万元。截至2021年12月底，单位共有公务用车0辆，其中：轿车0辆、越野车0辆、载客汽车0辆。</w:t>
      </w:r>
    </w:p>
    <w:p>
      <w:pPr>
        <w:spacing w:line="600" w:lineRule="exact"/>
        <w:ind w:firstLine="640"/>
        <w:rPr>
          <w:rFonts w:ascii="仿宋_GB2312" w:hAnsi="仿宋" w:eastAsia="仿宋_GB2312"/>
          <w:sz w:val="32"/>
          <w:szCs w:val="32"/>
        </w:rPr>
      </w:pPr>
      <w:r>
        <w:rPr>
          <w:rFonts w:hint="eastAsia" w:ascii="仿宋_GB2312" w:hAnsi="仿宋" w:eastAsia="仿宋_GB2312"/>
          <w:b/>
          <w:bCs/>
          <w:sz w:val="32"/>
          <w:szCs w:val="32"/>
        </w:rPr>
        <w:t>公务用车运行维护费支出</w:t>
      </w:r>
      <w:r>
        <w:rPr>
          <w:rFonts w:hint="eastAsia" w:ascii="仿宋_GB2312" w:hAnsi="仿宋" w:eastAsia="仿宋_GB2312"/>
          <w:sz w:val="32"/>
          <w:szCs w:val="32"/>
        </w:rPr>
        <w:t>0万元。</w:t>
      </w:r>
    </w:p>
    <w:p>
      <w:pPr>
        <w:spacing w:line="600" w:lineRule="exact"/>
        <w:ind w:firstLine="640"/>
        <w:rPr>
          <w:rFonts w:ascii="仿宋_GB2312" w:hAnsi="仿宋"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bookmarkStart w:id="45" w:name="_Toc15396610"/>
      <w:bookmarkStart w:id="46" w:name="_Toc15377218"/>
      <w:r>
        <w:rPr>
          <w:rFonts w:hint="eastAsia" w:ascii="仿宋_GB2312" w:hAnsi="仿宋" w:eastAsia="仿宋_GB2312"/>
          <w:sz w:val="32"/>
          <w:szCs w:val="32"/>
        </w:rPr>
        <w:t>公务接待费支出决算与2020年相比无增减变化。其中：</w:t>
      </w:r>
    </w:p>
    <w:p>
      <w:pPr>
        <w:spacing w:line="600" w:lineRule="exact"/>
        <w:ind w:firstLine="640"/>
        <w:rPr>
          <w:rFonts w:ascii="仿宋_GB2312" w:hAnsi="仿宋" w:eastAsia="仿宋_GB2312"/>
          <w:sz w:val="32"/>
          <w:szCs w:val="32"/>
        </w:rPr>
      </w:pPr>
      <w:r>
        <w:rPr>
          <w:rFonts w:hint="eastAsia" w:ascii="仿宋_GB2312" w:hAnsi="仿宋" w:eastAsia="仿宋_GB2312"/>
          <w:b/>
          <w:bCs/>
          <w:sz w:val="32"/>
          <w:szCs w:val="32"/>
        </w:rPr>
        <w:t>国内公务接待支出</w:t>
      </w:r>
      <w:r>
        <w:rPr>
          <w:rFonts w:hint="eastAsia" w:ascii="仿宋_GB2312" w:hAnsi="仿宋" w:eastAsia="仿宋_GB2312"/>
          <w:sz w:val="32"/>
          <w:szCs w:val="32"/>
        </w:rPr>
        <w:t>0万元。国内公务接待0批次，0人次（不包括陪同人员），共计支出0万元。</w:t>
      </w:r>
    </w:p>
    <w:p>
      <w:pPr>
        <w:spacing w:line="600" w:lineRule="exact"/>
        <w:ind w:firstLine="640"/>
        <w:rPr>
          <w:rFonts w:ascii="黑体" w:eastAsia="黑体"/>
          <w:sz w:val="32"/>
          <w:szCs w:val="32"/>
        </w:rPr>
      </w:pPr>
      <w:r>
        <w:rPr>
          <w:rFonts w:hint="eastAsia" w:ascii="仿宋_GB2312" w:hAnsi="仿宋" w:eastAsia="仿宋_GB2312"/>
          <w:b/>
          <w:bCs/>
          <w:sz w:val="32"/>
          <w:szCs w:val="32"/>
        </w:rPr>
        <w:t>外事接待支出</w:t>
      </w:r>
      <w:r>
        <w:rPr>
          <w:rFonts w:hint="eastAsia" w:ascii="仿宋_GB2312" w:hAnsi="仿宋" w:eastAsia="仿宋_GB2312"/>
          <w:sz w:val="32"/>
          <w:szCs w:val="32"/>
        </w:rPr>
        <w:t>0万元，外事接待0批次，0人，共计支出0万元。</w:t>
      </w:r>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27"/>
          <w:rFonts w:ascii="黑体" w:hAnsi="黑体" w:eastAsia="黑体"/>
          <w:b w:val="0"/>
        </w:rPr>
      </w:pPr>
      <w:bookmarkStart w:id="47" w:name="_Toc15396611"/>
      <w:bookmarkStart w:id="48" w:name="_Toc15377219"/>
      <w:r>
        <w:rPr>
          <w:rStyle w:val="27"/>
          <w:rFonts w:hint="eastAsia" w:ascii="黑体" w:hAnsi="黑体" w:eastAsia="黑体"/>
          <w:b w:val="0"/>
        </w:rPr>
        <w:t>国有资本经营预算支出决算情况说明</w:t>
      </w:r>
      <w:bookmarkEnd w:id="47"/>
      <w:bookmarkEnd w:id="4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7"/>
          <w:rFonts w:ascii="黑体" w:hAnsi="黑体" w:eastAsia="黑体"/>
          <w:b w:val="0"/>
        </w:rPr>
      </w:pPr>
      <w:bookmarkStart w:id="49" w:name="_Toc15377221"/>
      <w:bookmarkStart w:id="50" w:name="_Toc15396612"/>
      <w:r>
        <w:rPr>
          <w:rStyle w:val="27"/>
          <w:rFonts w:hint="eastAsia" w:ascii="黑体" w:hAnsi="黑体" w:eastAsia="黑体"/>
          <w:b w:val="0"/>
        </w:rPr>
        <w:t>其他重要事项的情况说明</w:t>
      </w:r>
      <w:bookmarkEnd w:id="49"/>
      <w:bookmarkEnd w:id="50"/>
    </w:p>
    <w:p>
      <w:pPr>
        <w:spacing w:line="600" w:lineRule="exact"/>
        <w:ind w:firstLine="643" w:firstLineChars="200"/>
        <w:outlineLvl w:val="2"/>
        <w:rPr>
          <w:rFonts w:ascii="仿宋" w:hAnsi="仿宋" w:eastAsia="仿宋"/>
          <w:sz w:val="32"/>
          <w:szCs w:val="32"/>
        </w:rPr>
      </w:pPr>
      <w:bookmarkStart w:id="51" w:name="_Toc15377222"/>
      <w:r>
        <w:rPr>
          <w:rFonts w:hint="eastAsia" w:ascii="仿宋" w:hAnsi="仿宋" w:eastAsia="仿宋"/>
          <w:b/>
          <w:sz w:val="32"/>
          <w:szCs w:val="32"/>
        </w:rPr>
        <w:t>（一）机关运行经费支出情况</w:t>
      </w:r>
      <w:bookmarkEnd w:id="51"/>
    </w:p>
    <w:p>
      <w:pPr>
        <w:spacing w:line="560" w:lineRule="exact"/>
        <w:ind w:firstLine="624" w:firstLineChars="195"/>
        <w:rPr>
          <w:rFonts w:ascii="仿宋" w:hAnsi="仿宋" w:eastAsia="仿宋" w:cs="仿宋"/>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cs="仿宋"/>
          <w:sz w:val="32"/>
          <w:szCs w:val="32"/>
        </w:rPr>
        <w:t>省总工会成都工人疗养院为事业单位，按规定未使用机关运行的相关科目。</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3"/>
      <w:r>
        <w:rPr>
          <w:rFonts w:hint="eastAsia" w:ascii="仿宋" w:hAnsi="仿宋" w:eastAsia="仿宋"/>
          <w:b/>
          <w:sz w:val="32"/>
          <w:szCs w:val="32"/>
        </w:rPr>
        <w:t>（二）政府采购支出情况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rPr>
        <w:t>，省总工会成都工人疗养院政府采购支出总额0万元，</w:t>
      </w:r>
      <w:r>
        <w:rPr>
          <w:rFonts w:hint="eastAsia" w:ascii="仿宋_GB2312" w:eastAsia="仿宋_GB2312"/>
          <w:sz w:val="32"/>
          <w:szCs w:val="32"/>
        </w:rPr>
        <w:t>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4"/>
      <w:r>
        <w:rPr>
          <w:rFonts w:hint="eastAsia" w:ascii="仿宋" w:hAnsi="仿宋" w:eastAsia="仿宋"/>
          <w:b/>
          <w:sz w:val="32"/>
          <w:szCs w:val="32"/>
        </w:rPr>
        <w:t>（三）国有资产占有使用情况</w:t>
      </w:r>
      <w:bookmarkEnd w:id="5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cs="仿宋"/>
          <w:sz w:val="32"/>
          <w:szCs w:val="32"/>
        </w:rPr>
        <w:t>省总工会成都工人疗养院</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万元以上通用设备0台，单价</w:t>
      </w:r>
      <w:r>
        <w:rPr>
          <w:rFonts w:ascii="仿宋_GB2312" w:eastAsia="仿宋_GB2312"/>
          <w:sz w:val="32"/>
          <w:szCs w:val="32"/>
        </w:rPr>
        <w:t>100</w:t>
      </w:r>
      <w:r>
        <w:rPr>
          <w:rFonts w:hint="eastAsia" w:ascii="仿宋_GB2312" w:eastAsia="仿宋_GB2312"/>
          <w:sz w:val="32"/>
          <w:szCs w:val="32"/>
        </w:rPr>
        <w:t>万元以上专用设备0台。</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7"/>
        <w:spacing w:before="93"/>
        <w:ind w:firstLine="640" w:firstLineChars="200"/>
        <w:rPr>
          <w:sz w:val="32"/>
          <w:szCs w:val="32"/>
        </w:rPr>
      </w:pPr>
      <w:r>
        <w:rPr>
          <w:rFonts w:hint="eastAsia"/>
          <w:sz w:val="32"/>
          <w:szCs w:val="32"/>
        </w:rPr>
        <w:t>根据预算绩效管理要求，本单位在2021年预算编制时，2021年部门预算只涉及在职人员部分缴费及离退休人员经费，无预算项目，未开展项目事前绩效评估，未编制项目绩效目标，预算执行过程中，只对以上人员经费进行了监控，因无预算项目，年终执行完毕后，未开展项目绩效自评。本单位组织开展了2021年整体支出绩效评价情况自评，形成了《2021年四川省总工会成都工人疗养院整体支出绩效自评报告》见第四部份附件1。本单位在2021年度无100万元以上的预算项目。</w:t>
      </w:r>
    </w:p>
    <w:p>
      <w:pPr>
        <w:pStyle w:val="7"/>
        <w:spacing w:before="93"/>
        <w:ind w:firstLine="640" w:firstLineChars="200"/>
        <w:rPr>
          <w:sz w:val="32"/>
          <w:szCs w:val="32"/>
        </w:rPr>
      </w:pPr>
    </w:p>
    <w:p>
      <w:pPr>
        <w:pStyle w:val="7"/>
        <w:spacing w:before="93"/>
        <w:ind w:firstLine="640" w:firstLineChars="200"/>
        <w:rPr>
          <w:sz w:val="32"/>
          <w:szCs w:val="32"/>
        </w:rPr>
      </w:pPr>
    </w:p>
    <w:p>
      <w:pPr>
        <w:pStyle w:val="7"/>
        <w:spacing w:before="93"/>
        <w:ind w:firstLine="640" w:firstLineChars="200"/>
        <w:rPr>
          <w:sz w:val="32"/>
          <w:szCs w:val="32"/>
        </w:rPr>
      </w:pPr>
    </w:p>
    <w:p>
      <w:pPr>
        <w:pStyle w:val="7"/>
        <w:spacing w:before="93"/>
        <w:ind w:firstLine="640" w:firstLineChars="200"/>
        <w:rPr>
          <w:sz w:val="32"/>
          <w:szCs w:val="32"/>
        </w:rPr>
      </w:pPr>
    </w:p>
    <w:p>
      <w:pPr>
        <w:pStyle w:val="7"/>
        <w:spacing w:before="93"/>
        <w:ind w:firstLine="640" w:firstLineChars="200"/>
        <w:rPr>
          <w:sz w:val="32"/>
          <w:szCs w:val="32"/>
        </w:rPr>
      </w:pPr>
    </w:p>
    <w:p>
      <w:pPr>
        <w:numPr>
          <w:ilvl w:val="0"/>
          <w:numId w:val="4"/>
        </w:numPr>
        <w:spacing w:line="600" w:lineRule="exact"/>
        <w:ind w:firstLine="660" w:firstLineChars="150"/>
        <w:jc w:val="center"/>
        <w:outlineLvl w:val="0"/>
        <w:rPr>
          <w:rStyle w:val="26"/>
          <w:rFonts w:ascii="黑体" w:hAnsi="黑体" w:eastAsia="黑体"/>
          <w:b w:val="0"/>
        </w:rPr>
      </w:pPr>
      <w:bookmarkStart w:id="54" w:name="_Toc15377225"/>
      <w:bookmarkStart w:id="55" w:name="_Toc15396613"/>
      <w:r>
        <w:rPr>
          <w:rFonts w:hint="eastAsia" w:ascii="黑体" w:hAnsi="黑体" w:eastAsia="黑体"/>
          <w:sz w:val="44"/>
          <w:szCs w:val="44"/>
        </w:rPr>
        <w:t>名</w:t>
      </w:r>
      <w:r>
        <w:rPr>
          <w:rStyle w:val="26"/>
          <w:rFonts w:hint="eastAsia" w:ascii="黑体" w:hAnsi="黑体" w:eastAsia="黑体"/>
          <w:b w:val="0"/>
        </w:rPr>
        <w:t>词解释</w:t>
      </w:r>
      <w:bookmarkEnd w:id="54"/>
      <w:bookmarkEnd w:id="55"/>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 w:hAnsi="仿宋" w:eastAsia="仿宋" w:cs="仿宋"/>
          <w:sz w:val="32"/>
          <w:szCs w:val="32"/>
        </w:rPr>
        <w:t>其他收入：指除上述“</w:t>
      </w:r>
      <w:r>
        <w:rPr>
          <w:rFonts w:hint="eastAsia" w:ascii="仿宋_GB2312" w:hAnsi="仿宋" w:eastAsia="仿宋_GB2312"/>
          <w:sz w:val="32"/>
          <w:szCs w:val="32"/>
        </w:rPr>
        <w:t>指单位取得的除上述收入以外的各项收入。</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spacing w:line="560" w:lineRule="exact"/>
        <w:ind w:firstLine="640" w:firstLineChars="200"/>
        <w:rPr>
          <w:rFonts w:ascii="仿宋_GB2312" w:hAnsi="仿宋" w:eastAsia="仿宋_GB2312" w:cs="仿宋"/>
          <w:color w:val="FF0000"/>
          <w:kern w:val="0"/>
          <w:sz w:val="32"/>
          <w:szCs w:val="32"/>
        </w:rPr>
      </w:pPr>
      <w:r>
        <w:rPr>
          <w:rFonts w:hint="eastAsia" w:ascii="仿宋_GB2312" w:hAnsi="Calibri" w:eastAsia="仿宋_GB2312" w:cs="仿宋"/>
          <w:color w:val="000000"/>
          <w:kern w:val="0"/>
          <w:sz w:val="32"/>
          <w:szCs w:val="32"/>
        </w:rPr>
        <w:t xml:space="preserve">5.社会保障和就业（类）行政事业单位离退休（款）事业单位离退休（项）:指反映在政府在社会保障与就业方面支出中，用于行政事业单位离退休方面支出的归口管理的事业单位开支的离退休经费；社会保障和就业（类）行政事业单位离退休（款）机关事业单位基本养老保险缴费支出（项）:指反映在政府在社会保障与就业方面支出中，用于行政事业单位离退休方面支出的机关事业单位实施养老保险制度由单位缴纳的基本养老保险费支出；社会保障和就业（类）行政事业单位离退休（款）机关事业单位职业年金缴费支出（项）:指反映在政府在社会保障与就业方面支出中，用于行政事业单位离退休方面支出的机关事业单位实施养老保险制度由单位实际缴纳的职业年金支出；社会保障和就业（类）其他社会保障和就业支出（款）其他社会保障和就业支出（项）: 指反映在政府在社会保障与就业方面支出中，用于其他社会保障和就业方面的支出。 </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6"/>
          <w:rFonts w:ascii="黑体" w:hAnsi="黑体" w:eastAsia="黑体"/>
          <w:b w:val="0"/>
        </w:rPr>
      </w:pPr>
      <w:bookmarkStart w:id="56" w:name="_Toc15377226"/>
      <w:r>
        <w:rPr>
          <w:rFonts w:ascii="宋体"/>
          <w:b/>
          <w:sz w:val="44"/>
          <w:szCs w:val="44"/>
        </w:rPr>
        <w:br w:type="page"/>
      </w:r>
      <w:bookmarkStart w:id="57" w:name="_Toc15396614"/>
      <w:r>
        <w:rPr>
          <w:rFonts w:hint="eastAsia" w:ascii="黑体" w:hAnsi="黑体" w:eastAsia="黑体"/>
          <w:sz w:val="44"/>
          <w:szCs w:val="44"/>
        </w:rPr>
        <w:t>第</w:t>
      </w:r>
      <w:r>
        <w:rPr>
          <w:rStyle w:val="26"/>
          <w:rFonts w:hint="eastAsia" w:ascii="黑体" w:hAnsi="黑体" w:eastAsia="黑体"/>
          <w:b w:val="0"/>
        </w:rPr>
        <w:t>四部分 附件</w:t>
      </w:r>
      <w:bookmarkEnd w:id="57"/>
    </w:p>
    <w:p>
      <w:pPr>
        <w:spacing w:line="572" w:lineRule="exact"/>
        <w:jc w:val="left"/>
        <w:outlineLvl w:val="0"/>
        <w:rPr>
          <w:rFonts w:ascii="黑体" w:hAnsi="黑体" w:eastAsia="黑体" w:cs="黑体"/>
          <w:sz w:val="32"/>
          <w:szCs w:val="32"/>
        </w:rPr>
      </w:pPr>
      <w:bookmarkStart w:id="58" w:name="_Toc112350025"/>
      <w:bookmarkStart w:id="59" w:name="_Toc15396618"/>
      <w:r>
        <w:rPr>
          <w:rFonts w:hint="eastAsia" w:ascii="黑体" w:hAnsi="黑体" w:eastAsia="黑体" w:cs="黑体"/>
          <w:sz w:val="32"/>
          <w:szCs w:val="32"/>
        </w:rPr>
        <w:t>附件1</w:t>
      </w:r>
      <w:bookmarkEnd w:id="58"/>
    </w:p>
    <w:p>
      <w:pPr>
        <w:widowControl/>
        <w:adjustRightInd w:val="0"/>
        <w:snapToGrid w:val="0"/>
        <w:spacing w:line="580" w:lineRule="exact"/>
        <w:contextualSpacing/>
        <w:jc w:val="left"/>
      </w:pPr>
    </w:p>
    <w:p>
      <w:pPr>
        <w:snapToGrid w:val="0"/>
        <w:ind w:firstLine="880" w:firstLineChars="200"/>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2021年四川省总工会成都工人疗养院整体支出绩效自评报告</w:t>
      </w:r>
    </w:p>
    <w:p>
      <w:pPr>
        <w:pStyle w:val="7"/>
        <w:spacing w:before="93"/>
        <w:rPr>
          <w:color w:val="000000" w:themeColor="text1"/>
          <w14:textFill>
            <w14:solidFill>
              <w14:schemeClr w14:val="tx1"/>
            </w14:solidFill>
          </w14:textFill>
        </w:rPr>
      </w:pPr>
    </w:p>
    <w:p>
      <w:pPr>
        <w:snapToGrid w:val="0"/>
        <w:spacing w:line="520" w:lineRule="exact"/>
        <w:ind w:firstLine="320" w:firstLineChars="100"/>
        <w:rPr>
          <w:rFonts w:ascii="黑体" w:hAnsi="黑体" w:eastAsia="黑体" w:cs="黑体"/>
          <w:color w:val="000000" w:themeColor="text1"/>
          <w:sz w:val="32"/>
          <w:szCs w:val="32"/>
          <w14:textFill>
            <w14:solidFill>
              <w14:schemeClr w14:val="tx1"/>
            </w14:solidFill>
          </w14:textFill>
        </w:rPr>
      </w:pPr>
      <w:bookmarkStart w:id="60" w:name="YS060101"/>
      <w:r>
        <w:rPr>
          <w:rFonts w:hint="eastAsia" w:ascii="黑体" w:hAnsi="黑体" w:eastAsia="黑体" w:cs="黑体"/>
          <w:color w:val="000000" w:themeColor="text1"/>
          <w:sz w:val="32"/>
          <w:szCs w:val="32"/>
          <w14:textFill>
            <w14:solidFill>
              <w14:schemeClr w14:val="tx1"/>
            </w14:solidFill>
          </w14:textFill>
        </w:rPr>
        <w:t>一、单位情况</w:t>
      </w:r>
    </w:p>
    <w:bookmarkEnd w:id="60"/>
    <w:p>
      <w:pPr>
        <w:snapToGrid w:val="0"/>
        <w:spacing w:line="520" w:lineRule="exact"/>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（一）机构组成</w:t>
      </w:r>
    </w:p>
    <w:p>
      <w:pPr>
        <w:ind w:firstLine="480" w:firstLineChars="1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四川省总工会成都工人疗养院是直属于四川省总工会的二级预算单位，共设置6个科室，分别是办公室、财务科、总务科、休养所、体检中心、营养餐厅。</w:t>
      </w:r>
      <w:r>
        <w:rPr>
          <w:rFonts w:hint="eastAsia" w:ascii="仿宋_GB2312" w:eastAsia="仿宋_GB2312" w:hAnsiTheme="minorEastAsia" w:cstheme="minorEastAsia"/>
          <w:sz w:val="32"/>
          <w:szCs w:val="32"/>
        </w:rPr>
        <w:t>2021年内设机构无变动。</w:t>
      </w:r>
    </w:p>
    <w:p>
      <w:pPr>
        <w:snapToGrid w:val="0"/>
        <w:spacing w:line="520" w:lineRule="exact"/>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（二）机构职能</w:t>
      </w:r>
    </w:p>
    <w:p>
      <w:pPr>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四川省总工会成都工人疗养院坐落在成都大熊猫繁育研究基地旁，始建于1953年，是直属于四川省总工会的一所集</w:t>
      </w:r>
      <w:r>
        <w:fldChar w:fldCharType="begin"/>
      </w:r>
      <w:r>
        <w:instrText xml:space="preserve"> HYPERLINK "http://www.cdgrlyy.org/news20120103100103_1_1.html" \t "http://www.cdgrlyy.org/about/_blank"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健康体检</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r>
        <w:fldChar w:fldCharType="begin"/>
      </w:r>
      <w:r>
        <w:instrText xml:space="preserve"> HYPERLINK "http://www.cdgrlyy.org/news20120920230508_23_1.html" \t "http://www.cdgrlyy.org/about/_blank"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疗休养</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和</w:t>
      </w:r>
      <w:r>
        <w:fldChar w:fldCharType="begin"/>
      </w:r>
      <w:r>
        <w:instrText xml:space="preserve"> HYPERLINK "http://www.cdgrlyy.org/news20120920230508_24_1.html" \t "http://www.cdgrlyy.org/about/_blank"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工会干部培训</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为一体综合型疗养院。四川省总工会健康体检中心是四川省总工会2012年4月批准设立，是四川省人民医院健康体检中心北区分部，是开展健康体检及健康管理的专业机构，主要从事健康体检、健康教育、健康与亚健康咨询以及保健管理等全方位的医疗健康服务。是四川省工会干部培训基地、劳动模范、职工疗休养基地和职工健康体检基地。</w:t>
      </w:r>
    </w:p>
    <w:p>
      <w:pPr>
        <w:snapToGrid w:val="0"/>
        <w:spacing w:line="520" w:lineRule="exact"/>
        <w:ind w:firstLine="320" w:firstLineChars="1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（三）人员概况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我院核定编制人数148人。截止2021年12月31日在职人员30人；离休人员3人；退休人员114人；聘用人员113人（其中：医生33人、护士42人、技师15人、其他23人）。</w:t>
      </w:r>
      <w:bookmarkStart w:id="61" w:name="YS060102"/>
    </w:p>
    <w:p>
      <w:pPr>
        <w:snapToGrid w:val="0"/>
        <w:spacing w:line="520" w:lineRule="exact"/>
        <w:ind w:firstLine="320" w:firstLineChars="1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二、部门财政资金收支情况</w:t>
      </w:r>
    </w:p>
    <w:bookmarkEnd w:id="61"/>
    <w:p>
      <w:pPr>
        <w:snapToGrid w:val="0"/>
        <w:spacing w:line="520" w:lineRule="exact"/>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（一）部门财政资金收入情况。</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2021年财政拨款收入127.74万元。</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其中：离休费53.94万元，其他对个人和家庭补助20.58万元，离退休公用经费1.88万元，机关事业单位基本养老保险32.76万元，机关事业单位职业年金16.38万元。</w:t>
      </w:r>
    </w:p>
    <w:p>
      <w:pPr>
        <w:snapToGrid w:val="0"/>
        <w:spacing w:line="520" w:lineRule="exact"/>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（二）部门财政资金支出情况。</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2021年财政拨款支出127.74万元。</w:t>
      </w:r>
    </w:p>
    <w:p>
      <w:pPr>
        <w:spacing w:line="520"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其中：离休费53.94万元，其他对个人和家庭补助22.78万元，离退休公用经费1.88万元，机关事业单位基本养老保险32.76万元，机关事业单位职业年金16.38万元。</w:t>
      </w:r>
    </w:p>
    <w:p>
      <w:pPr>
        <w:tabs>
          <w:tab w:val="left" w:pos="489"/>
        </w:tabs>
        <w:snapToGrid w:val="0"/>
        <w:spacing w:line="520" w:lineRule="exact"/>
        <w:ind w:firstLine="320" w:firstLineChars="100"/>
        <w:rPr>
          <w:rFonts w:ascii="黑体" w:hAnsi="黑体" w:eastAsia="黑体" w:cs="黑体"/>
          <w:color w:val="000000" w:themeColor="text1"/>
          <w:sz w:val="32"/>
          <w:szCs w:val="32"/>
          <w14:textFill>
            <w14:solidFill>
              <w14:schemeClr w14:val="tx1"/>
            </w14:solidFill>
          </w14:textFill>
        </w:rPr>
      </w:pPr>
      <w:bookmarkStart w:id="62" w:name="YS060103"/>
      <w:r>
        <w:rPr>
          <w:rFonts w:hint="eastAsia" w:ascii="黑体" w:hAnsi="黑体" w:eastAsia="黑体" w:cs="黑体"/>
          <w:color w:val="000000" w:themeColor="text1"/>
          <w:sz w:val="32"/>
          <w:szCs w:val="32"/>
          <w14:textFill>
            <w14:solidFill>
              <w14:schemeClr w14:val="tx1"/>
            </w14:solidFill>
          </w14:textFill>
        </w:rPr>
        <w:t>三、部门整体预算绩效管理情况</w:t>
      </w:r>
    </w:p>
    <w:p>
      <w:pPr>
        <w:snapToGrid w:val="0"/>
        <w:spacing w:line="520" w:lineRule="exact"/>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（一）部门预算管理。</w:t>
      </w:r>
    </w:p>
    <w:bookmarkEnd w:id="62"/>
    <w:p>
      <w:pPr>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部门预算编制准确</w:t>
      </w:r>
    </w:p>
    <w:p>
      <w:pPr>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我院</w:t>
      </w:r>
      <w:r>
        <w:rPr>
          <w:rFonts w:hint="eastAsia" w:ascii="仿宋_GB2312" w:hAnsi="仿宋_GB2312" w:eastAsia="仿宋_GB2312" w:cs="仿宋_GB2312"/>
          <w:color w:val="000000" w:themeColor="text1"/>
          <w:sz w:val="32"/>
          <w:szCs w:val="32"/>
          <w:lang w:val="zh-CN"/>
          <w14:textFill>
            <w14:solidFill>
              <w14:schemeClr w14:val="tx1"/>
            </w14:solidFill>
          </w14:textFill>
        </w:rPr>
        <w:t>严格按照财政厅有关预算编制管理规定的要求编制部门预算，</w:t>
      </w:r>
      <w:r>
        <w:rPr>
          <w:rFonts w:hint="eastAsia" w:ascii="仿宋_GB2312" w:hAnsi="仿宋_GB2312" w:eastAsia="仿宋_GB2312" w:cs="仿宋_GB2312"/>
          <w:color w:val="000000" w:themeColor="text1"/>
          <w:sz w:val="32"/>
          <w:szCs w:val="32"/>
          <w14:textFill>
            <w14:solidFill>
              <w14:schemeClr w14:val="tx1"/>
            </w14:solidFill>
          </w14:textFill>
        </w:rPr>
        <w:t>人员经费和</w:t>
      </w:r>
      <w:r>
        <w:rPr>
          <w:rFonts w:hint="eastAsia" w:ascii="仿宋_GB2312" w:hAnsi="仿宋_GB2312" w:eastAsia="仿宋_GB2312" w:cs="仿宋_GB2312"/>
          <w:color w:val="000000" w:themeColor="text1"/>
          <w:sz w:val="32"/>
          <w:szCs w:val="32"/>
          <w:lang w:val="zh-CN"/>
          <w14:textFill>
            <w14:solidFill>
              <w14:schemeClr w14:val="tx1"/>
            </w14:solidFill>
          </w14:textFill>
        </w:rPr>
        <w:t>公用支出按定员定额标准合理</w:t>
      </w:r>
      <w:r>
        <w:rPr>
          <w:rFonts w:hint="eastAsia" w:ascii="仿宋_GB2312" w:hAnsi="仿宋_GB2312" w:eastAsia="仿宋_GB2312" w:cs="仿宋_GB2312"/>
          <w:color w:val="000000" w:themeColor="text1"/>
          <w:sz w:val="32"/>
          <w:szCs w:val="32"/>
          <w14:textFill>
            <w14:solidFill>
              <w14:schemeClr w14:val="tx1"/>
            </w14:solidFill>
          </w14:textFill>
        </w:rPr>
        <w:t>编制预算</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预算依据完整。</w:t>
      </w:r>
    </w:p>
    <w:p>
      <w:pPr>
        <w:snapToGrid w:val="0"/>
        <w:spacing w:line="520" w:lineRule="exact"/>
        <w:ind w:firstLine="640" w:firstLineChars="200"/>
        <w:rPr>
          <w:rFonts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lang w:val="zh-CN"/>
          <w14:textFill>
            <w14:solidFill>
              <w14:schemeClr w14:val="tx1"/>
            </w14:solidFill>
          </w14:textFill>
        </w:rPr>
        <w:t>支出控制</w:t>
      </w:r>
    </w:p>
    <w:p>
      <w:pPr>
        <w:snapToGrid w:val="0"/>
        <w:spacing w:line="52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我院严格按规定预算编制支出，未出现无预算、超预算、超标准、超范围列支的情况。</w:t>
      </w:r>
    </w:p>
    <w:p>
      <w:pPr>
        <w:snapToGrid w:val="0"/>
        <w:spacing w:line="52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预算动态调整</w:t>
      </w:r>
    </w:p>
    <w:p>
      <w:pPr>
        <w:snapToGrid w:val="0"/>
        <w:spacing w:line="52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我院根据上级相关审批文件及时进行预算调整。</w:t>
      </w:r>
    </w:p>
    <w:p>
      <w:pPr>
        <w:snapToGrid w:val="0"/>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4.执行进度</w:t>
      </w:r>
    </w:p>
    <w:p>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部门预算执行进度在6、9、11月实际支出进度分别达到以下指标：</w:t>
      </w:r>
    </w:p>
    <w:p>
      <w:pPr>
        <w:numPr>
          <w:ilvl w:val="0"/>
          <w:numId w:val="5"/>
        </w:num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工资福利支出6月执行达到58.02%，9月执行达到88.73%，11月执行达到100%；</w:t>
      </w:r>
    </w:p>
    <w:p>
      <w:pPr>
        <w:numPr>
          <w:ilvl w:val="0"/>
          <w:numId w:val="5"/>
        </w:num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商品和服务支出6月执行达到69.14%，9月执行达到100%，11月执行达到100%；</w:t>
      </w:r>
    </w:p>
    <w:p>
      <w:pPr>
        <w:snapToGrid w:val="0"/>
        <w:spacing w:line="52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（3）对个人和家庭的补助支出6月执行达到50.90%，9月执行达到75.95%，11月执行达到86.65%。</w:t>
      </w:r>
    </w:p>
    <w:p>
      <w:pPr>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5.预算完成情况</w:t>
      </w:r>
      <w:r>
        <w:rPr>
          <w:rFonts w:hint="eastAsia" w:ascii="仿宋_GB2312" w:hAnsi="仿宋_GB2312" w:eastAsia="仿宋_GB2312" w:cs="仿宋_GB2312"/>
          <w:color w:val="000000" w:themeColor="text1"/>
          <w:sz w:val="32"/>
          <w:szCs w:val="32"/>
          <w:lang w:val="zh-CN"/>
          <w14:textFill>
            <w14:solidFill>
              <w14:schemeClr w14:val="tx1"/>
            </w14:solidFill>
          </w14:textFill>
        </w:rPr>
        <w:t>和违规记录等情况</w:t>
      </w:r>
    </w:p>
    <w:p>
      <w:pPr>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（1）收入预算：2021年初预算总收入106.17万元，实际执行数为127.74万元，完成预算总收入的120%。</w:t>
      </w:r>
    </w:p>
    <w:p>
      <w:pPr>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（2）支出预算：2021年初预算总支出106.17万元，实际执行数为127.74万元，完成预算总支出的120%。</w:t>
      </w:r>
    </w:p>
    <w:p>
      <w:pPr>
        <w:snapToGrid w:val="0"/>
        <w:spacing w:line="52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经查，无预算违规记录。</w:t>
      </w:r>
    </w:p>
    <w:p>
      <w:pPr>
        <w:snapToGrid w:val="0"/>
        <w:spacing w:line="520" w:lineRule="exact"/>
        <w:ind w:firstLine="320" w:firstLineChars="100"/>
        <w:rPr>
          <w:rFonts w:ascii="仿宋_GB2312" w:hAnsi="仿宋_GB2312" w:eastAsia="仿宋_GB2312" w:cs="仿宋_GB2312"/>
          <w:color w:val="000000" w:themeColor="text1"/>
          <w:sz w:val="32"/>
          <w:szCs w:val="32"/>
          <w14:textFill>
            <w14:solidFill>
              <w14:schemeClr w14:val="tx1"/>
            </w14:solidFill>
          </w14:textFill>
        </w:rPr>
      </w:pPr>
      <w:bookmarkStart w:id="63" w:name="YS060104"/>
      <w:r>
        <w:rPr>
          <w:rFonts w:hint="eastAsia" w:ascii="仿宋_GB2312" w:hAnsi="仿宋_GB2312" w:eastAsia="仿宋_GB2312" w:cs="仿宋_GB2312"/>
          <w:color w:val="000000" w:themeColor="text1"/>
          <w:sz w:val="32"/>
          <w:szCs w:val="32"/>
          <w14:textFill>
            <w14:solidFill>
              <w14:schemeClr w14:val="tx1"/>
            </w14:solidFill>
          </w14:textFill>
        </w:rPr>
        <w:t>（二）结果应用情况</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部门绩效目标均按要求对外公开，接受社会监督。</w:t>
      </w:r>
    </w:p>
    <w:bookmarkEnd w:id="63"/>
    <w:p>
      <w:pPr>
        <w:snapToGrid w:val="0"/>
        <w:spacing w:line="520" w:lineRule="exact"/>
        <w:ind w:left="420" w:left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四、评价结论及建议</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我院2021年度预算资金执行情况良好，在预算执行中暂未发现问题，今后要进一步提高预算编制精准性、科学性、合理性，加强预算执行力度。</w:t>
      </w:r>
    </w:p>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附件2</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bl>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本单位在2021年度无100万元以上的预算项目。</w:t>
      </w:r>
    </w:p>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pStyle w:val="6"/>
        <w:ind w:firstLine="880"/>
        <w:rPr>
          <w:rFonts w:ascii="黑体" w:hAnsi="黑体" w:eastAsia="黑体"/>
          <w:sz w:val="44"/>
          <w:szCs w:val="44"/>
        </w:rPr>
      </w:pPr>
    </w:p>
    <w:p>
      <w:pPr>
        <w:rPr>
          <w:rFonts w:ascii="黑体" w:hAnsi="黑体" w:eastAsia="黑体"/>
          <w:sz w:val="44"/>
          <w:szCs w:val="44"/>
        </w:rPr>
      </w:pPr>
    </w:p>
    <w:p>
      <w:pPr>
        <w:pStyle w:val="7"/>
        <w:spacing w:before="93"/>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6"/>
      <w:bookmarkEnd w:id="59"/>
      <w:bookmarkStart w:id="64" w:name="_Toc15396619"/>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64"/>
    </w:p>
    <w:p>
      <w:pPr>
        <w:pStyle w:val="4"/>
        <w:rPr>
          <w:rFonts w:ascii="仿宋" w:hAnsi="仿宋" w:eastAsia="仿宋"/>
        </w:rPr>
      </w:pPr>
      <w:bookmarkStart w:id="65" w:name="_Toc15396620"/>
      <w:r>
        <w:rPr>
          <w:rFonts w:hint="eastAsia" w:ascii="仿宋" w:hAnsi="仿宋" w:eastAsia="仿宋"/>
          <w:b w:val="0"/>
        </w:rPr>
        <w:t>二、收</w:t>
      </w:r>
      <w:r>
        <w:rPr>
          <w:rStyle w:val="27"/>
          <w:rFonts w:hint="eastAsia" w:ascii="仿宋" w:hAnsi="仿宋" w:eastAsia="仿宋"/>
          <w:b w:val="0"/>
          <w:bCs w:val="0"/>
        </w:rPr>
        <w:t>入决算表</w:t>
      </w:r>
      <w:bookmarkEnd w:id="65"/>
    </w:p>
    <w:p>
      <w:pPr>
        <w:pStyle w:val="4"/>
        <w:rPr>
          <w:rFonts w:ascii="仿宋" w:hAnsi="仿宋" w:eastAsia="仿宋"/>
        </w:rPr>
      </w:pPr>
      <w:bookmarkStart w:id="66"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66"/>
    </w:p>
    <w:p>
      <w:pPr>
        <w:pStyle w:val="4"/>
        <w:rPr>
          <w:rFonts w:ascii="仿宋" w:hAnsi="仿宋" w:eastAsia="仿宋"/>
          <w:b w:val="0"/>
        </w:rPr>
      </w:pPr>
      <w:bookmarkStart w:id="67"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67"/>
    </w:p>
    <w:p>
      <w:pPr>
        <w:pStyle w:val="4"/>
        <w:rPr>
          <w:rStyle w:val="27"/>
          <w:rFonts w:ascii="仿宋" w:hAnsi="仿宋" w:eastAsia="仿宋"/>
          <w:b w:val="0"/>
          <w:bCs w:val="0"/>
        </w:rPr>
      </w:pPr>
      <w:bookmarkStart w:id="68"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68"/>
      <w:bookmarkStart w:id="69" w:name="_Toc15396624"/>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69"/>
    </w:p>
    <w:p>
      <w:pPr>
        <w:pStyle w:val="4"/>
        <w:rPr>
          <w:rFonts w:ascii="仿宋" w:hAnsi="仿宋" w:eastAsia="仿宋"/>
        </w:rPr>
      </w:pPr>
      <w:bookmarkStart w:id="70"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70"/>
    </w:p>
    <w:p>
      <w:pPr>
        <w:pStyle w:val="4"/>
        <w:rPr>
          <w:rFonts w:ascii="仿宋" w:hAnsi="仿宋" w:eastAsia="仿宋"/>
        </w:rPr>
      </w:pPr>
      <w:bookmarkStart w:id="71"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71"/>
    </w:p>
    <w:p>
      <w:pPr>
        <w:pStyle w:val="4"/>
        <w:rPr>
          <w:rFonts w:ascii="仿宋" w:hAnsi="仿宋" w:eastAsia="仿宋"/>
        </w:rPr>
      </w:pPr>
      <w:bookmarkStart w:id="72"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72"/>
    </w:p>
    <w:p>
      <w:pPr>
        <w:pStyle w:val="4"/>
        <w:rPr>
          <w:rFonts w:ascii="仿宋" w:hAnsi="仿宋" w:eastAsia="仿宋"/>
        </w:rPr>
      </w:pPr>
      <w:bookmarkStart w:id="73"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73"/>
    </w:p>
    <w:p>
      <w:pPr>
        <w:pStyle w:val="4"/>
        <w:rPr>
          <w:rFonts w:ascii="仿宋" w:hAnsi="仿宋" w:eastAsia="仿宋"/>
        </w:rPr>
      </w:pPr>
      <w:bookmarkStart w:id="74"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74"/>
    </w:p>
    <w:p>
      <w:pPr>
        <w:pStyle w:val="4"/>
        <w:rPr>
          <w:rFonts w:ascii="仿宋" w:hAnsi="仿宋" w:eastAsia="仿宋"/>
        </w:rPr>
      </w:pPr>
      <w:bookmarkStart w:id="75"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75"/>
    </w:p>
    <w:p>
      <w:pPr>
        <w:pStyle w:val="4"/>
        <w:rPr>
          <w:rStyle w:val="27"/>
          <w:rFonts w:ascii="仿宋" w:hAnsi="仿宋" w:eastAsia="仿宋"/>
          <w:b w:val="0"/>
          <w:bCs w:val="0"/>
        </w:rPr>
      </w:pPr>
      <w:bookmarkStart w:id="76"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76"/>
    </w:p>
    <w:p>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87D69"/>
    <w:multiLevelType w:val="singleLevel"/>
    <w:tmpl w:val="B1987D69"/>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F6C2D5E"/>
    <w:multiLevelType w:val="singleLevel"/>
    <w:tmpl w:val="2F6C2D5E"/>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YjNjYTEzN2JiNDlkMjhmZGVkMjlkYzM5NDM0Zm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0EA0"/>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30F1"/>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47C2"/>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D66EC"/>
    <w:rsid w:val="01E846D3"/>
    <w:rsid w:val="0278319F"/>
    <w:rsid w:val="0530678A"/>
    <w:rsid w:val="05A323DF"/>
    <w:rsid w:val="06255BC2"/>
    <w:rsid w:val="06C510C8"/>
    <w:rsid w:val="08EC78DF"/>
    <w:rsid w:val="0A2032A3"/>
    <w:rsid w:val="0B7C0033"/>
    <w:rsid w:val="0B8A37D8"/>
    <w:rsid w:val="0B903360"/>
    <w:rsid w:val="0C411257"/>
    <w:rsid w:val="0D7F5D8D"/>
    <w:rsid w:val="0DDE4FD5"/>
    <w:rsid w:val="0EAD49A7"/>
    <w:rsid w:val="0EDE1004"/>
    <w:rsid w:val="0F7200CA"/>
    <w:rsid w:val="10A36C40"/>
    <w:rsid w:val="10A87705"/>
    <w:rsid w:val="10C055FF"/>
    <w:rsid w:val="118107EC"/>
    <w:rsid w:val="11C17641"/>
    <w:rsid w:val="11CE0478"/>
    <w:rsid w:val="11DD6519"/>
    <w:rsid w:val="14863CD0"/>
    <w:rsid w:val="155C3CBE"/>
    <w:rsid w:val="159B754B"/>
    <w:rsid w:val="16BB723D"/>
    <w:rsid w:val="16EA00FB"/>
    <w:rsid w:val="18015F3F"/>
    <w:rsid w:val="18335747"/>
    <w:rsid w:val="18A4171F"/>
    <w:rsid w:val="1A044846"/>
    <w:rsid w:val="1B0F312F"/>
    <w:rsid w:val="1BE8440E"/>
    <w:rsid w:val="1BE86120"/>
    <w:rsid w:val="1BEB7216"/>
    <w:rsid w:val="1C60574F"/>
    <w:rsid w:val="1D035763"/>
    <w:rsid w:val="1D155CEE"/>
    <w:rsid w:val="1D746A84"/>
    <w:rsid w:val="1D7F10CF"/>
    <w:rsid w:val="1D9E3D7C"/>
    <w:rsid w:val="1F76279D"/>
    <w:rsid w:val="20F57F95"/>
    <w:rsid w:val="21B05AF4"/>
    <w:rsid w:val="223A5A58"/>
    <w:rsid w:val="240371BF"/>
    <w:rsid w:val="245D42E8"/>
    <w:rsid w:val="248D4F84"/>
    <w:rsid w:val="254A4DC9"/>
    <w:rsid w:val="25C741E6"/>
    <w:rsid w:val="26BB5A5B"/>
    <w:rsid w:val="27842671"/>
    <w:rsid w:val="27AA4DAB"/>
    <w:rsid w:val="27D261F0"/>
    <w:rsid w:val="29396935"/>
    <w:rsid w:val="29FD04D3"/>
    <w:rsid w:val="2A7C3732"/>
    <w:rsid w:val="2A8B1BE9"/>
    <w:rsid w:val="2ABE7A3E"/>
    <w:rsid w:val="2D045DC1"/>
    <w:rsid w:val="2DEC299E"/>
    <w:rsid w:val="2E2C79CF"/>
    <w:rsid w:val="2EFA178C"/>
    <w:rsid w:val="2F934737"/>
    <w:rsid w:val="2FC82F97"/>
    <w:rsid w:val="30B46D73"/>
    <w:rsid w:val="317725F2"/>
    <w:rsid w:val="317B5B3D"/>
    <w:rsid w:val="319F7F4E"/>
    <w:rsid w:val="32FA5B5D"/>
    <w:rsid w:val="33C81520"/>
    <w:rsid w:val="348A2EE4"/>
    <w:rsid w:val="352A658A"/>
    <w:rsid w:val="36B060E9"/>
    <w:rsid w:val="36D8778D"/>
    <w:rsid w:val="37D53DC6"/>
    <w:rsid w:val="38507F7D"/>
    <w:rsid w:val="39AE70AB"/>
    <w:rsid w:val="3AE12DC5"/>
    <w:rsid w:val="3C0C0783"/>
    <w:rsid w:val="3D3A17C4"/>
    <w:rsid w:val="3E622753"/>
    <w:rsid w:val="3F8F762D"/>
    <w:rsid w:val="3F9F3A96"/>
    <w:rsid w:val="3FDC4303"/>
    <w:rsid w:val="403943F8"/>
    <w:rsid w:val="40A06B0D"/>
    <w:rsid w:val="41E111CE"/>
    <w:rsid w:val="455B517C"/>
    <w:rsid w:val="46EB0162"/>
    <w:rsid w:val="476E221E"/>
    <w:rsid w:val="477548FF"/>
    <w:rsid w:val="47A55818"/>
    <w:rsid w:val="488364F8"/>
    <w:rsid w:val="493C27E9"/>
    <w:rsid w:val="496F39ED"/>
    <w:rsid w:val="49FF41D3"/>
    <w:rsid w:val="4BE068DB"/>
    <w:rsid w:val="4BF6002B"/>
    <w:rsid w:val="4CB538D9"/>
    <w:rsid w:val="4CD01D5C"/>
    <w:rsid w:val="4D3000D9"/>
    <w:rsid w:val="4ECE2238"/>
    <w:rsid w:val="4FCD042A"/>
    <w:rsid w:val="4FE958A7"/>
    <w:rsid w:val="503B3B92"/>
    <w:rsid w:val="50874A7C"/>
    <w:rsid w:val="51432E3A"/>
    <w:rsid w:val="51DB4B86"/>
    <w:rsid w:val="53C03AE0"/>
    <w:rsid w:val="544918D3"/>
    <w:rsid w:val="547200BD"/>
    <w:rsid w:val="55333C3E"/>
    <w:rsid w:val="55744C23"/>
    <w:rsid w:val="57081C01"/>
    <w:rsid w:val="57D8393B"/>
    <w:rsid w:val="592F7A5F"/>
    <w:rsid w:val="5A4C4641"/>
    <w:rsid w:val="5A8C2EAD"/>
    <w:rsid w:val="5C6578CB"/>
    <w:rsid w:val="5C680B5D"/>
    <w:rsid w:val="5CD356E6"/>
    <w:rsid w:val="5D2252A3"/>
    <w:rsid w:val="5DE0125F"/>
    <w:rsid w:val="5E2D7C92"/>
    <w:rsid w:val="5FA23C8E"/>
    <w:rsid w:val="5FB2036D"/>
    <w:rsid w:val="5FC52828"/>
    <w:rsid w:val="5FFB2380"/>
    <w:rsid w:val="620B23BA"/>
    <w:rsid w:val="624857C7"/>
    <w:rsid w:val="63C65002"/>
    <w:rsid w:val="64CA39A1"/>
    <w:rsid w:val="65770DE7"/>
    <w:rsid w:val="66C33A44"/>
    <w:rsid w:val="69364FCE"/>
    <w:rsid w:val="697A13ED"/>
    <w:rsid w:val="69B54379"/>
    <w:rsid w:val="6A170811"/>
    <w:rsid w:val="6A70612A"/>
    <w:rsid w:val="6B323B0F"/>
    <w:rsid w:val="6B7E4D31"/>
    <w:rsid w:val="6C485AC8"/>
    <w:rsid w:val="6C4A05C8"/>
    <w:rsid w:val="6D803E6F"/>
    <w:rsid w:val="6EB6477C"/>
    <w:rsid w:val="7252521E"/>
    <w:rsid w:val="72734D90"/>
    <w:rsid w:val="732A047C"/>
    <w:rsid w:val="75EC7F23"/>
    <w:rsid w:val="77A94584"/>
    <w:rsid w:val="78C145E9"/>
    <w:rsid w:val="79584959"/>
    <w:rsid w:val="79C93CC9"/>
    <w:rsid w:val="79E7B28D"/>
    <w:rsid w:val="7B650C21"/>
    <w:rsid w:val="7B9638AF"/>
    <w:rsid w:val="7C63789C"/>
    <w:rsid w:val="7C856ADD"/>
    <w:rsid w:val="7F9F20EE"/>
    <w:rsid w:val="7FE56B45"/>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pPr>
      <w:jc w:val="center"/>
    </w:pPr>
    <w:rPr>
      <w:sz w:val="44"/>
    </w:rPr>
  </w:style>
  <w:style w:type="paragraph" w:styleId="6">
    <w:name w:val="Normal Indent"/>
    <w:basedOn w:val="1"/>
    <w:next w:val="1"/>
    <w:qFormat/>
    <w:uiPriority w:val="0"/>
    <w:pPr>
      <w:ind w:firstLine="420" w:firstLine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9"/>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WeChat%20Files\wxid_c6y09259jshv52\FileStorage\File\2022-08\&#22522;&#30784;&#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WeChat%20Files\wxid_c6y09259jshv52\FileStorage\File\2022-08\&#22522;&#30784;&#349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8773\Desktop\&#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2522;&#30784;&#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2522;&#30784;&#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2522;&#3078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1111111111111"/>
          <c:y val="0.0416666666666667"/>
        </c:manualLayout>
      </c:layout>
      <c:overlay val="0"/>
      <c:spPr>
        <a:noFill/>
        <a:ln>
          <a:noFill/>
        </a:ln>
        <a:effectLst/>
      </c:spPr>
    </c:title>
    <c:autoTitleDeleted val="0"/>
    <c:plotArea>
      <c:layout/>
      <c:barChart>
        <c:barDir val="col"/>
        <c:grouping val="clustered"/>
        <c:varyColors val="0"/>
        <c:ser>
          <c:idx val="0"/>
          <c:order val="0"/>
          <c:tx>
            <c:strRef>
              <c:f>[基础表.xls]Sheet6!$A$2</c:f>
              <c:strCache>
                <c:ptCount val="1"/>
                <c:pt idx="0">
                  <c:v>2020年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[基础表.xls]Sheet6!$B$1</c:f>
              <c:strCache>
                <c:ptCount val="1"/>
                <c:pt idx="0">
                  <c:v>收、支决算总计变动情况图</c:v>
                </c:pt>
              </c:strCache>
            </c:strRef>
          </c:cat>
          <c:val>
            <c:numRef>
              <c:f>[基础表.xls]Sheet6!$B$2</c:f>
              <c:numCache>
                <c:formatCode>General</c:formatCode>
                <c:ptCount val="1"/>
                <c:pt idx="0">
                  <c:v>116.34</c:v>
                </c:pt>
              </c:numCache>
            </c:numRef>
          </c:val>
        </c:ser>
        <c:ser>
          <c:idx val="1"/>
          <c:order val="1"/>
          <c:tx>
            <c:strRef>
              <c:f>[基础表.xls]Sheet6!$A$3</c:f>
              <c:strCache>
                <c:ptCount val="1"/>
                <c:pt idx="0">
                  <c:v>2021年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[基础表.xls]Sheet6!$B$1</c:f>
              <c:strCache>
                <c:ptCount val="1"/>
                <c:pt idx="0">
                  <c:v>收、支决算总计变动情况图</c:v>
                </c:pt>
              </c:strCache>
            </c:strRef>
          </c:cat>
          <c:val>
            <c:numRef>
              <c:f>[基础表.xls]Sheet6!$B$3</c:f>
              <c:numCache>
                <c:formatCode>General</c:formatCode>
                <c:ptCount val="1"/>
                <c:pt idx="0">
                  <c:v>127.74</c:v>
                </c:pt>
              </c:numCache>
            </c:numRef>
          </c:val>
        </c:ser>
        <c:ser>
          <c:idx val="2"/>
          <c:order val="2"/>
          <c:tx>
            <c:strRef>
              <c:f>[基础表.xls]Sheet6!$A$4</c:f>
              <c:strCache>
                <c:ptCount val="1"/>
                <c:pt idx="0">
                  <c:v>增长/减少</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[基础表.xls]Sheet6!$B$1</c:f>
              <c:strCache>
                <c:ptCount val="1"/>
                <c:pt idx="0">
                  <c:v>收、支决算总计变动情况图</c:v>
                </c:pt>
              </c:strCache>
            </c:strRef>
          </c:cat>
          <c:val>
            <c:numRef>
              <c:f>[基础表.xls]Sheet6!$B$4</c:f>
              <c:numCache>
                <c:formatCode>General</c:formatCode>
                <c:ptCount val="1"/>
                <c:pt idx="0">
                  <c:v>11.4</c:v>
                </c:pt>
              </c:numCache>
            </c:numRef>
          </c:val>
        </c:ser>
        <c:ser>
          <c:idx val="3"/>
          <c:order val="3"/>
          <c:tx>
            <c:strRef>
              <c:f>[基础表.xls]Sheet6!$A$5</c:f>
              <c:strCache>
                <c:ptCount val="1"/>
                <c:pt idx="0">
                  <c:v>增长/下降（%）</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[基础表.xls]Sheet6!$B$1</c:f>
              <c:strCache>
                <c:ptCount val="1"/>
                <c:pt idx="0">
                  <c:v>收、支决算总计变动情况图</c:v>
                </c:pt>
              </c:strCache>
            </c:strRef>
          </c:cat>
          <c:val>
            <c:numRef>
              <c:f>[基础表.xls]Sheet6!$B$5</c:f>
              <c:numCache>
                <c:formatCode>0.00%</c:formatCode>
                <c:ptCount val="1"/>
                <c:pt idx="0">
                  <c:v>0.0979</c:v>
                </c:pt>
              </c:numCache>
            </c:numRef>
          </c:val>
        </c:ser>
        <c:dLbls>
          <c:showLegendKey val="0"/>
          <c:showVal val="0"/>
          <c:showCatName val="0"/>
          <c:showSerName val="0"/>
          <c:showPercent val="0"/>
          <c:showBubbleSize val="0"/>
        </c:dLbls>
        <c:gapWidth val="219"/>
        <c:overlap val="-27"/>
        <c:axId val="849402134"/>
        <c:axId val="520170505"/>
      </c:barChart>
      <c:catAx>
        <c:axId val="84940213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0170505"/>
        <c:crosses val="autoZero"/>
        <c:auto val="1"/>
        <c:lblAlgn val="ctr"/>
        <c:lblOffset val="100"/>
        <c:noMultiLvlLbl val="0"/>
      </c:catAx>
      <c:valAx>
        <c:axId val="52017050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940213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lang="zh-CN" altLang="en-US"/>
              <a:t>收入决算结构</a:t>
            </a:r>
            <a:endParaRPr lang="zh-CN" altLang="en-US"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view3D>
      <c:rotX val="30"/>
      <c:rotY val="0"/>
      <c:depthPercent val="100"/>
      <c:rAngAx val="0"/>
      <c:perspective val="0"/>
    </c:view3D>
    <c:floor>
      <c:thickness val="0"/>
    </c:floor>
    <c:sideWall>
      <c:thickness val="0"/>
    </c:sideWall>
    <c:backWall>
      <c:thickness val="0"/>
    </c:backWall>
    <c:plotArea>
      <c:layout/>
      <c:pie3DChart>
        <c:varyColors val="1"/>
        <c:ser>
          <c:idx val="0"/>
          <c:order val="0"/>
          <c:tx>
            <c:strRef>
              <c:f>'[基础表(1).xls]Sheet1'!$B$1</c:f>
              <c:strCache>
                <c:ptCount val="1"/>
                <c:pt idx="0">
                  <c:v>省总成都工人疗养院2020年度收入决算结构</c:v>
                </c:pt>
              </c:strCache>
            </c:strRef>
          </c:tx>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dPt>
          <c:dPt>
            <c:idx val="4"/>
            <c:bubble3D val="0"/>
          </c:dPt>
          <c:dPt>
            <c:idx val="5"/>
            <c:bubble3D val="0"/>
          </c:dPt>
          <c:dPt>
            <c:idx val="6"/>
            <c:bubble3D val="0"/>
          </c:dPt>
          <c:dPt>
            <c:idx val="7"/>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900" b="0" i="0" u="none" strike="noStrike" baseline="0">
                        <a:solidFill>
                          <a:srgbClr val="333333"/>
                        </a:solidFill>
                        <a:latin typeface="宋体" panose="02010600030101010101" charset="-122"/>
                        <a:ea typeface="宋体" panose="02010600030101010101" charset="-122"/>
                        <a:cs typeface="宋体" panose="02010600030101010101" charset="-122"/>
                      </a:rPr>
                      <a:t>127.74</a:t>
                    </a:r>
                    <a:r>
                      <a:rPr lang="zh-CN" altLang="en-US" sz="900" b="0" i="0" u="none" strike="noStrike" baseline="0">
                        <a:solidFill>
                          <a:srgbClr val="333333"/>
                        </a:solidFill>
                        <a:latin typeface="宋体" panose="02010600030101010101" charset="-122"/>
                        <a:ea typeface="宋体" panose="02010600030101010101" charset="-122"/>
                        <a:cs typeface="宋体" panose="02010600030101010101" charset="-122"/>
                      </a:rPr>
                      <a:t>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1"/>
              <c:showSerName val="0"/>
              <c:showPercent val="0"/>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'[基础表(1).xls]Sheet1'!$A$2:$A$9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c:v>
                </c:pt>
                <c:pt idx="7">
                  <c:v>其他收入</c:v>
                </c:pt>
              </c:strCache>
            </c:strRef>
          </c:cat>
          <c:val>
            <c:numRef>
              <c:f>'[基础表(1).xls]Sheet1'!$B$2:$B$9</c:f>
              <c:numCache>
                <c:formatCode>General</c:formatCode>
                <c:ptCount val="8"/>
                <c:pt idx="0">
                  <c:v>127.74</c:v>
                </c:pt>
                <c:pt idx="1">
                  <c:v>0</c:v>
                </c:pt>
                <c:pt idx="2">
                  <c:v>0</c:v>
                </c:pt>
                <c:pt idx="3">
                  <c:v>0</c:v>
                </c:pt>
                <c:pt idx="4">
                  <c:v>0</c:v>
                </c:pt>
                <c:pt idx="6">
                  <c:v>0</c:v>
                </c:pt>
                <c:pt idx="7">
                  <c:v>0</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工作表.xls]Sheet1'!$A$2:$A$5</c:f>
              <c:strCache>
                <c:ptCount val="4"/>
                <c:pt idx="0">
                  <c:v>基本支出</c:v>
                </c:pt>
                <c:pt idx="1">
                  <c:v>项目支出</c:v>
                </c:pt>
                <c:pt idx="2">
                  <c:v>上缴上级支出</c:v>
                </c:pt>
                <c:pt idx="3">
                  <c:v>经营支出</c:v>
                </c:pt>
              </c:strCache>
            </c:strRef>
          </c:cat>
          <c:val>
            <c:numRef>
              <c:f>'[新建 XLS 工作表.xls]Sheet1'!$B$2:$B$5</c:f>
              <c:numCache>
                <c:formatCode>0%</c:formatCode>
                <c:ptCount val="4"/>
                <c:pt idx="0">
                  <c:v>1</c:v>
                </c:pt>
                <c:pt idx="1">
                  <c:v>0</c:v>
                </c:pt>
                <c:pt idx="2">
                  <c:v>0</c:v>
                </c:pt>
                <c:pt idx="3">
                  <c:v>0</c:v>
                </c:pt>
              </c:numCache>
            </c:numRef>
          </c:val>
        </c:ser>
        <c:dLbls>
          <c:showLegendKey val="0"/>
          <c:showVal val="0"/>
          <c:showCatName val="0"/>
          <c:showSerName val="0"/>
          <c:showPercent val="1"/>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100" b="0" i="0" baseline="0">
                <a:solidFill>
                  <a:schemeClr val="tx1">
                    <a:lumMod val="65000"/>
                    <a:lumOff val="35000"/>
                  </a:schemeClr>
                </a:solidFill>
                <a:uFillTx/>
                <a:latin typeface="宋体" panose="02010600030101010101" charset="-122"/>
                <a:ea typeface="宋体" panose="02010600030101010101" charset="-122"/>
                <a:cs typeface="宋体" panose="02010600030101010101" charset="-122"/>
              </a:rPr>
              <a:t>财政拨款收、支决算总计变动</a:t>
            </a:r>
            <a:r>
              <a:rPr lang="zh-CN" altLang="en-US" sz="1100">
                <a:solidFill>
                  <a:schemeClr val="tx1">
                    <a:lumMod val="65000"/>
                    <a:lumOff val="35000"/>
                  </a:schemeClr>
                </a:solidFill>
                <a:uFillTx/>
                <a:ea typeface="宋体" panose="02010600030101010101" charset="-122"/>
              </a:rPr>
              <a:t>情况</a:t>
            </a:r>
            <a:endParaRPr lang="zh-CN" altLang="en-US" sz="1100" b="0" i="0" baseline="0">
              <a:solidFill>
                <a:schemeClr val="tx1">
                  <a:lumMod val="65000"/>
                  <a:lumOff val="35000"/>
                </a:schemeClr>
              </a:solidFill>
              <a:uFillTx/>
              <a:latin typeface="宋体" panose="02010600030101010101" charset="-122"/>
              <a:ea typeface="宋体" panose="02010600030101010101" charset="-122"/>
              <a:cs typeface="宋体" panose="02010600030101010101" charset="-122"/>
            </a:endParaRPr>
          </a:p>
        </c:rich>
      </c:tx>
      <c:layout>
        <c:manualLayout>
          <c:xMode val="edge"/>
          <c:yMode val="edge"/>
          <c:x val="0.331321153510591"/>
          <c:y val="0.0334586886803831"/>
        </c:manualLayout>
      </c:layout>
      <c:overlay val="0"/>
      <c:spPr>
        <a:noFill/>
        <a:ln>
          <a:noFill/>
        </a:ln>
        <a:effectLst/>
      </c:spPr>
    </c:title>
    <c:autoTitleDeleted val="0"/>
    <c:plotArea>
      <c:layout/>
      <c:barChart>
        <c:barDir val="col"/>
        <c:grouping val="clustered"/>
        <c:varyColors val="0"/>
        <c:ser>
          <c:idx val="0"/>
          <c:order val="0"/>
          <c:tx>
            <c:strRef>
              <c:f>[基础表.xls]Sheet5!$B$1</c:f>
              <c:strCache>
                <c:ptCount val="1"/>
                <c:pt idx="0">
                  <c:v>省总成都工人疗养院2021年度财政拨款收、支决算总计变动情况</c:v>
                </c:pt>
              </c:strCache>
            </c:strRef>
          </c:tx>
          <c:spPr>
            <a:solidFill>
              <a:schemeClr val="accent1"/>
            </a:solidFill>
            <a:ln>
              <a:noFill/>
            </a:ln>
            <a:effectLst/>
          </c:spPr>
          <c:invertIfNegative val="0"/>
          <c:dPt>
            <c:idx val="1"/>
            <c:invertIfNegative val="0"/>
            <c:bubble3D val="0"/>
            <c:spPr>
              <a:solidFill>
                <a:srgbClr val="C00000"/>
              </a:solidFill>
              <a:ln>
                <a:noFill/>
              </a:ln>
              <a:effectLst/>
            </c:spPr>
          </c:dPt>
          <c:dPt>
            <c:idx val="2"/>
            <c:invertIfNegative val="0"/>
            <c:bubble3D val="0"/>
            <c:spPr>
              <a:solidFill>
                <a:schemeClr val="accent2"/>
              </a:solidFill>
              <a:ln>
                <a:noFill/>
              </a:ln>
              <a:effectLst/>
            </c:spPr>
          </c:dPt>
          <c:dPt>
            <c:idx val="3"/>
            <c:invertIfNegative val="0"/>
            <c:bubble3D val="0"/>
            <c:spPr>
              <a:solidFill>
                <a:srgbClr val="7030A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[基础表.xls]Sheet5!$A$2:$A$5</c:f>
              <c:strCache>
                <c:ptCount val="4"/>
                <c:pt idx="0">
                  <c:v>本年收支决算总计（万元）</c:v>
                </c:pt>
                <c:pt idx="1">
                  <c:v>上年收支决算总计（万元）</c:v>
                </c:pt>
                <c:pt idx="2">
                  <c:v>较上年增加万元</c:v>
                </c:pt>
                <c:pt idx="3">
                  <c:v>较上年变动%</c:v>
                </c:pt>
              </c:strCache>
            </c:strRef>
          </c:cat>
          <c:val>
            <c:numRef>
              <c:f>[基础表.xls]Sheet5!$B$2:$B$5</c:f>
              <c:numCache>
                <c:formatCode>General</c:formatCode>
                <c:ptCount val="4"/>
                <c:pt idx="0">
                  <c:v>127.74</c:v>
                </c:pt>
                <c:pt idx="1">
                  <c:v>116.34</c:v>
                </c:pt>
                <c:pt idx="2">
                  <c:v>11.4</c:v>
                </c:pt>
                <c:pt idx="3" c:formatCode="0.00%">
                  <c:v>0.0979</c:v>
                </c:pt>
              </c:numCache>
            </c:numRef>
          </c:val>
        </c:ser>
        <c:dLbls>
          <c:showLegendKey val="0"/>
          <c:showVal val="0"/>
          <c:showCatName val="0"/>
          <c:showSerName val="0"/>
          <c:showPercent val="0"/>
          <c:showBubbleSize val="0"/>
        </c:dLbls>
        <c:gapWidth val="75"/>
        <c:axId val="46795108"/>
        <c:axId val="390428914"/>
      </c:barChart>
      <c:catAx>
        <c:axId val="46795108"/>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428914"/>
        <c:crosses val="autoZero"/>
        <c:auto val="1"/>
        <c:lblAlgn val="ctr"/>
        <c:lblOffset val="100"/>
        <c:noMultiLvlLbl val="0"/>
      </c:catAx>
      <c:valAx>
        <c:axId val="39042891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951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900"/>
              <a:t>一般公共预算财政拨款支出决算变动情况</a:t>
            </a:r>
            <a:endParaRPr lang="zh-CN" altLang="en-US" sz="9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2221760059619"/>
          <c:y val="0.0376127383125583"/>
        </c:manualLayout>
      </c:layout>
      <c:overlay val="0"/>
      <c:spPr>
        <a:noFill/>
        <a:ln>
          <a:noFill/>
        </a:ln>
        <a:effectLst/>
      </c:spPr>
    </c:title>
    <c:autoTitleDeleted val="0"/>
    <c:plotArea>
      <c:layout>
        <c:manualLayout>
          <c:layoutTarget val="inner"/>
          <c:xMode val="edge"/>
          <c:yMode val="edge"/>
          <c:x val="0.0635478568719181"/>
          <c:y val="0.109494109494109"/>
          <c:w val="0.904083954987988"/>
          <c:h val="0.723492723492724"/>
        </c:manualLayout>
      </c:layout>
      <c:barChart>
        <c:barDir val="col"/>
        <c:grouping val="clustered"/>
        <c:varyColors val="0"/>
        <c:ser>
          <c:idx val="0"/>
          <c:order val="0"/>
          <c:tx>
            <c:strRef>
              <c:f>[基础表.xls]Sheet5!$B$1</c:f>
              <c:strCache>
                <c:ptCount val="1"/>
                <c:pt idx="0">
                  <c:v>省总成都工人疗养院2021年度财政拨款支出决算总计变动情况</c:v>
                </c:pt>
              </c:strCache>
            </c:strRef>
          </c:tx>
          <c:spPr>
            <a:solidFill>
              <a:schemeClr val="accent1"/>
            </a:solidFill>
            <a:ln>
              <a:noFill/>
            </a:ln>
            <a:effectLst/>
          </c:spPr>
          <c:invertIfNegative val="0"/>
          <c:dPt>
            <c:idx val="1"/>
            <c:invertIfNegative val="0"/>
            <c:bubble3D val="0"/>
            <c:spPr>
              <a:solidFill>
                <a:srgbClr val="C00000"/>
              </a:solidFill>
              <a:ln>
                <a:noFill/>
              </a:ln>
              <a:effectLst/>
            </c:spPr>
          </c:dPt>
          <c:dPt>
            <c:idx val="2"/>
            <c:invertIfNegative val="0"/>
            <c:bubble3D val="0"/>
            <c:spPr>
              <a:solidFill>
                <a:schemeClr val="accent2"/>
              </a:solidFill>
              <a:ln>
                <a:noFill/>
              </a:ln>
              <a:effectLst/>
            </c:spPr>
          </c:dPt>
          <c:dPt>
            <c:idx val="3"/>
            <c:invertIfNegative val="0"/>
            <c:bubble3D val="0"/>
            <c:spPr>
              <a:solidFill>
                <a:srgbClr val="7030A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[基础表.xls]Sheet5!$A$2:$A$5</c:f>
              <c:strCache>
                <c:ptCount val="4"/>
                <c:pt idx="0">
                  <c:v>本年支出决算总计（万元）</c:v>
                </c:pt>
                <c:pt idx="1">
                  <c:v>上年支出决算总计（万元）</c:v>
                </c:pt>
                <c:pt idx="2">
                  <c:v>较上年增加万元</c:v>
                </c:pt>
                <c:pt idx="3">
                  <c:v>较上年变动%</c:v>
                </c:pt>
              </c:strCache>
            </c:strRef>
          </c:cat>
          <c:val>
            <c:numRef>
              <c:f>[基础表.xls]Sheet5!$B$2:$B$5</c:f>
              <c:numCache>
                <c:formatCode>General</c:formatCode>
                <c:ptCount val="4"/>
                <c:pt idx="0">
                  <c:v>127.74</c:v>
                </c:pt>
                <c:pt idx="1">
                  <c:v>116.34</c:v>
                </c:pt>
                <c:pt idx="2">
                  <c:v>11.4</c:v>
                </c:pt>
                <c:pt idx="3" c:formatCode="0.00%">
                  <c:v>0.0979</c:v>
                </c:pt>
              </c:numCache>
            </c:numRef>
          </c:val>
        </c:ser>
        <c:dLbls>
          <c:showLegendKey val="0"/>
          <c:showVal val="0"/>
          <c:showCatName val="0"/>
          <c:showSerName val="0"/>
          <c:showPercent val="0"/>
          <c:showBubbleSize val="0"/>
        </c:dLbls>
        <c:gapWidth val="75"/>
        <c:axId val="46795108"/>
        <c:axId val="390428914"/>
      </c:barChart>
      <c:catAx>
        <c:axId val="46795108"/>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428914"/>
        <c:crosses val="autoZero"/>
        <c:auto val="1"/>
        <c:lblAlgn val="ctr"/>
        <c:lblOffset val="100"/>
        <c:noMultiLvlLbl val="0"/>
      </c:catAx>
      <c:valAx>
        <c:axId val="39042891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951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a:p>
        </c:rich>
      </c:tx>
      <c:layout>
        <c:manualLayout>
          <c:xMode val="edge"/>
          <c:yMode val="edge"/>
          <c:x val="0.213172482888238"/>
          <c:y val="0.0304430335060737"/>
        </c:manualLayout>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0251663641863279"/>
          <c:y val="0.397825101948346"/>
          <c:w val="0.946763460375076"/>
          <c:h val="0.549614861803353"/>
        </c:manualLayout>
      </c:layout>
      <c:pie3DChart>
        <c:varyColors val="1"/>
        <c:ser>
          <c:idx val="0"/>
          <c:order val="0"/>
          <c:tx>
            <c:strRef>
              <c:f>[基础表.xls]Sheet3!$A$2</c:f>
              <c:strCache>
                <c:ptCount val="1"/>
                <c:pt idx="0">
                  <c:v>省总成都工人疗养院2020年度一般公共预算财政拨款支出决算结构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Lbls>
            <c:dLbl>
              <c:idx val="4"/>
              <c:layout>
                <c:manualLayout>
                  <c:x val="0.00166695525205314"/>
                  <c:y val="-0.14900127919455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127.74</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sz="900" b="0" i="0" u="none" strike="noStrike" baseline="0">
                      <a:solidFill>
                        <a:srgbClr val="404040">
                          <a:alpha val="100000"/>
                        </a:srgbClr>
                      </a:solidFill>
                      <a:latin typeface="Calibri" panose="020F0502020204030204" pitchFamily="2" charset="0"/>
                      <a:ea typeface="Calibri" panose="020F0502020204030204" pitchFamily="2" charset="0"/>
                      <a:cs typeface="Calibri" panose="020F0502020204030204" pitchFamily="2"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[基础表.xls]Sheet3!$B$1:$H$1</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[基础表.xls]Sheet3!$B$2:$H$2</c:f>
              <c:numCache>
                <c:formatCode>General</c:formatCode>
                <c:ptCount val="7"/>
                <c:pt idx="0">
                  <c:v>0</c:v>
                </c:pt>
                <c:pt idx="1">
                  <c:v>0</c:v>
                </c:pt>
                <c:pt idx="2">
                  <c:v>0</c:v>
                </c:pt>
                <c:pt idx="3">
                  <c:v>0</c:v>
                </c:pt>
                <c:pt idx="4">
                  <c:v>127.74</c:v>
                </c:pt>
                <c:pt idx="5">
                  <c:v>0</c:v>
                </c:pt>
                <c:pt idx="6">
                  <c:v>0</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1942</Words>
  <Characters>11071</Characters>
  <Lines>92</Lines>
  <Paragraphs>25</Paragraphs>
  <TotalTime>24</TotalTime>
  <ScaleCrop>false</ScaleCrop>
  <LinksUpToDate>false</LinksUpToDate>
  <CharactersWithSpaces>12988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2022-08-06T02:23:00Z</cp:lastPrinted>
  <dcterms:modified xsi:type="dcterms:W3CDTF">2023-09-13T06:42:22Z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4084AFF5602945D0995F6C0642A7E58C_13</vt:lpwstr>
  </property>
</Properties>
</file>