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pStyle w:val="2"/>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rPr>
      </w:pPr>
      <w:bookmarkStart w:id="1" w:name="_Toc15377425"/>
      <w:bookmarkStart w:id="2" w:name="_Toc15378441"/>
      <w:bookmarkStart w:id="3" w:name="_Toc15377193"/>
      <w:bookmarkStart w:id="4" w:name="_Toc15396475"/>
      <w:bookmarkStart w:id="5" w:name="_Toc15396597"/>
      <w:r>
        <w:rPr>
          <w:rFonts w:hint="eastAsia" w:ascii="方正小标宋简体" w:hAnsi="方正小标宋简体" w:eastAsia="方正小标宋简体" w:cs="方正小标宋简体"/>
          <w:color w:val="auto"/>
          <w:sz w:val="52"/>
          <w:szCs w:val="52"/>
          <w:highlight w:val="none"/>
        </w:rPr>
        <w:t>20</w:t>
      </w:r>
      <w:r>
        <w:rPr>
          <w:rFonts w:hint="eastAsia" w:ascii="方正小标宋简体" w:hAnsi="方正小标宋简体" w:eastAsia="方正小标宋简体" w:cs="方正小标宋简体"/>
          <w:color w:val="auto"/>
          <w:sz w:val="52"/>
          <w:szCs w:val="52"/>
          <w:highlight w:val="none"/>
          <w:lang w:val="en-US" w:eastAsia="zh-CN"/>
        </w:rPr>
        <w:t>22</w:t>
      </w:r>
      <w:r>
        <w:rPr>
          <w:rFonts w:hint="eastAsia" w:ascii="方正小标宋简体" w:hAnsi="方正小标宋简体" w:eastAsia="方正小标宋简体" w:cs="方正小标宋简体"/>
          <w:color w:val="auto"/>
          <w:sz w:val="52"/>
          <w:szCs w:val="5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lang w:eastAsia="zh-CN"/>
        </w:rPr>
      </w:pPr>
      <w:bookmarkStart w:id="6" w:name="_Toc15378442"/>
      <w:bookmarkStart w:id="7" w:name="_Toc15377426"/>
      <w:bookmarkStart w:id="8" w:name="_Toc15377194"/>
      <w:bookmarkStart w:id="9" w:name="_Toc15396598"/>
      <w:bookmarkStart w:id="10" w:name="_Toc15396476"/>
      <w:r>
        <w:rPr>
          <w:rFonts w:hint="eastAsia" w:ascii="方正小标宋简体" w:hAnsi="方正小标宋简体" w:eastAsia="方正小标宋简体" w:cs="方正小标宋简体"/>
          <w:color w:val="auto"/>
          <w:sz w:val="52"/>
          <w:szCs w:val="52"/>
          <w:highlight w:val="none"/>
        </w:rPr>
        <w:t>四川省</w:t>
      </w:r>
      <w:bookmarkEnd w:id="0"/>
      <w:bookmarkStart w:id="11" w:name="_Toc15306268"/>
      <w:r>
        <w:rPr>
          <w:rFonts w:hint="eastAsia" w:ascii="方正小标宋简体" w:hAnsi="方正小标宋简体" w:eastAsia="方正小标宋简体" w:cs="方正小标宋简体"/>
          <w:color w:val="auto"/>
          <w:sz w:val="52"/>
          <w:szCs w:val="52"/>
          <w:highlight w:val="none"/>
          <w:lang w:eastAsia="zh-CN"/>
        </w:rPr>
        <w:t>总工会成都工人疗养院</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lang w:eastAsia="zh-CN"/>
        </w:rPr>
        <w:t>单位</w:t>
      </w:r>
      <w:r>
        <w:rPr>
          <w:rFonts w:hint="eastAsia" w:ascii="方正小标宋简体" w:hAnsi="方正小标宋简体" w:eastAsia="方正小标宋简体" w:cs="方正小标宋简体"/>
          <w:color w:val="auto"/>
          <w:sz w:val="52"/>
          <w:szCs w:val="5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........................................................................................................4</w:t>
      </w:r>
    </w:p>
    <w:p>
      <w:pPr>
        <w:pStyle w:val="11"/>
        <w:adjustRightInd w:val="0"/>
        <w:snapToGrid w:val="0"/>
        <w:spacing w:line="440" w:lineRule="exact"/>
        <w:jc w:val="left"/>
        <w:rPr>
          <w:rFonts w:hint="default"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color w:val="auto"/>
          <w:sz w:val="24"/>
          <w:highlight w:val="none"/>
          <w:lang w:val="en-US" w:eastAsia="zh-CN"/>
        </w:rPr>
        <w:t>........................................................................................................4</w:t>
      </w:r>
    </w:p>
    <w:p>
      <w:pPr>
        <w:pStyle w:val="10"/>
        <w:adjustRightInd w:val="0"/>
        <w:snapToGrid w:val="0"/>
        <w:spacing w:before="0"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ascii="Times New Roman" w:hAnsi="Times New Roman" w:eastAsia="宋体" w:cs="Times New Roman"/>
          <w:color w:val="auto"/>
          <w:kern w:val="2"/>
          <w:sz w:val="24"/>
          <w:szCs w:val="24"/>
          <w:highlight w:val="none"/>
          <w:lang w:val="en-US" w:eastAsia="zh-CN" w:bidi="ar-SA"/>
        </w:rPr>
        <w:t>....................................................................5</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........................................................................5</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........................................................................................5</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........................................................................................6</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........................................................7</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................................................8</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........................................11</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................................................11</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............................................................12</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val="en-US" w:eastAsia="zh-CN"/>
        </w:rPr>
        <w:t>........................................................12</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val="en-US" w:eastAsia="zh-CN"/>
        </w:rPr>
        <w:t>............................................................................12</w:t>
      </w:r>
    </w:p>
    <w:p>
      <w:pPr>
        <w:pStyle w:val="10"/>
        <w:adjustRightInd w:val="0"/>
        <w:snapToGrid w:val="0"/>
        <w:spacing w:before="0"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Times New Roman" w:hAnsi="Times New Roman" w:eastAsia="宋体" w:cs="Times New Roman"/>
          <w:color w:val="auto"/>
          <w:kern w:val="2"/>
          <w:sz w:val="24"/>
          <w:szCs w:val="24"/>
          <w:highlight w:val="none"/>
          <w:lang w:val="en-US" w:eastAsia="zh-CN" w:bidi="ar-SA"/>
        </w:rPr>
        <w:t>....................................................................................................14</w:t>
      </w:r>
    </w:p>
    <w:p>
      <w:pPr>
        <w:pStyle w:val="10"/>
        <w:adjustRightInd w:val="0"/>
        <w:snapToGrid w:val="0"/>
        <w:spacing w:before="0" w:line="44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Times New Roman" w:hAnsi="Times New Roman" w:eastAsia="宋体" w:cs="Times New Roman"/>
          <w:color w:val="auto"/>
          <w:kern w:val="2"/>
          <w:sz w:val="24"/>
          <w:szCs w:val="24"/>
          <w:highlight w:val="none"/>
          <w:lang w:val="en-US" w:eastAsia="zh-CN" w:bidi="ar-SA"/>
        </w:rPr>
        <w:t>............................................................................................................16</w:t>
      </w:r>
    </w:p>
    <w:p>
      <w:pPr>
        <w:rPr>
          <w:rFonts w:hint="default" w:ascii="仿宋" w:hAnsi="仿宋" w:eastAsia="仿宋" w:cs="Times New Roman"/>
          <w:color w:val="auto"/>
          <w:kern w:val="2"/>
          <w:sz w:val="24"/>
          <w:szCs w:val="28"/>
          <w:highlight w:val="none"/>
          <w:lang w:val="en-US" w:eastAsia="zh-CN" w:bidi="ar-SA"/>
        </w:rPr>
      </w:pPr>
      <w:r>
        <w:rPr>
          <w:rFonts w:hint="eastAsia" w:ascii="仿宋" w:hAnsi="仿宋" w:eastAsia="仿宋" w:cs="Times New Roman"/>
          <w:color w:val="auto"/>
          <w:kern w:val="2"/>
          <w:sz w:val="24"/>
          <w:szCs w:val="28"/>
          <w:highlight w:val="none"/>
          <w:lang w:val="en-US" w:eastAsia="zh-CN" w:bidi="ar-SA"/>
        </w:rPr>
        <w:t>第五部分.附表</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w:t>
      </w:r>
      <w:r>
        <w:rPr>
          <w:rFonts w:hint="eastAsia" w:ascii="仿宋" w:hAnsi="仿宋" w:eastAsia="仿宋" w:cs="Times New Roman"/>
          <w:color w:val="auto"/>
          <w:kern w:val="2"/>
          <w:sz w:val="24"/>
          <w:szCs w:val="28"/>
          <w:highlight w:val="none"/>
          <w:lang w:val="en-US" w:eastAsia="zh-CN" w:bidi="ar-SA"/>
        </w:rPr>
        <w:t>21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rFonts w:hint="eastAsia"/>
          <w:color w:val="auto"/>
          <w:sz w:val="24"/>
          <w:highlight w:val="none"/>
          <w:lang w:val="en-US" w:eastAsia="zh-CN"/>
        </w:rPr>
        <w:t>.........................................................................................21</w:t>
      </w:r>
      <w:r>
        <w:rPr>
          <w:rFonts w:hint="eastAsia"/>
          <w:color w:val="auto"/>
          <w:sz w:val="24"/>
          <w:highlight w:val="none"/>
        </w:rPr>
        <w:t>二、收入决算表</w:t>
      </w:r>
      <w:r>
        <w:rPr>
          <w:rFonts w:hint="eastAsia"/>
          <w:color w:val="auto"/>
          <w:sz w:val="24"/>
          <w:highlight w:val="none"/>
          <w:lang w:val="en-US" w:eastAsia="zh-CN"/>
        </w:rPr>
        <w:t>...................................................................................................21</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r>
        <w:rPr>
          <w:rFonts w:hint="eastAsia"/>
          <w:color w:val="auto"/>
          <w:sz w:val="24"/>
          <w:highlight w:val="none"/>
          <w:lang w:val="en-US" w:eastAsia="zh-CN"/>
        </w:rPr>
        <w:t>...................................................................................................21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color w:val="auto"/>
          <w:sz w:val="24"/>
          <w:highlight w:val="none"/>
          <w:lang w:val="en-US" w:eastAsia="zh-CN"/>
        </w:rPr>
        <w:t>.......................................................................21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五、财政拨款支出决算明细表</w:t>
      </w:r>
      <w:r>
        <w:rPr>
          <w:rFonts w:hint="eastAsia"/>
          <w:color w:val="auto"/>
          <w:sz w:val="24"/>
          <w:highlight w:val="none"/>
          <w:lang w:val="en-US" w:eastAsia="zh-CN"/>
        </w:rPr>
        <w:t>...........................................................................21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color w:val="auto"/>
          <w:sz w:val="24"/>
          <w:highlight w:val="none"/>
          <w:lang w:val="en-US" w:eastAsia="zh-CN"/>
        </w:rPr>
        <w:t>...........................................................21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color w:val="auto"/>
          <w:sz w:val="24"/>
          <w:highlight w:val="none"/>
          <w:lang w:val="en-US" w:eastAsia="zh-CN"/>
        </w:rPr>
        <w:t>...................................................21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olor w:val="auto"/>
          <w:sz w:val="24"/>
          <w:highlight w:val="none"/>
          <w:lang w:val="en-US" w:eastAsia="zh-CN"/>
        </w:rPr>
        <w:t>...........................................21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rFonts w:hint="eastAsia"/>
          <w:color w:val="auto"/>
          <w:sz w:val="24"/>
          <w:highlight w:val="none"/>
          <w:lang w:val="en-US" w:eastAsia="zh-CN"/>
        </w:rPr>
        <w:t>...................................................21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rFonts w:hint="eastAsia"/>
          <w:color w:val="auto"/>
          <w:sz w:val="24"/>
          <w:highlight w:val="none"/>
          <w:lang w:val="en-US" w:eastAsia="zh-CN"/>
        </w:rPr>
        <w:t>...............................................21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r>
        <w:rPr>
          <w:rFonts w:hint="eastAsia"/>
          <w:color w:val="auto"/>
          <w:sz w:val="24"/>
          <w:highlight w:val="none"/>
          <w:lang w:val="en-US" w:eastAsia="zh-CN"/>
        </w:rPr>
        <w:t>.......................................21</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国有资本经营预算财政拨款支出决算表...............................................21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十三、财政拨款“三公”经费支出决算表</w:t>
      </w:r>
      <w:r>
        <w:rPr>
          <w:rFonts w:hint="eastAsia"/>
          <w:color w:val="auto"/>
          <w:sz w:val="24"/>
          <w:highlight w:val="none"/>
          <w:lang w:val="en-US" w:eastAsia="zh-CN"/>
        </w:rPr>
        <w:t>.......................................................21</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eastAsia="zh-CN"/>
        </w:rPr>
        <w:t>十四、部门预算项目支出绩效自评表</w:t>
      </w:r>
      <w:r>
        <w:rPr>
          <w:rFonts w:hint="eastAsia"/>
          <w:color w:val="auto"/>
          <w:sz w:val="24"/>
          <w:highlight w:val="none"/>
          <w:lang w:val="en-US" w:eastAsia="zh-CN"/>
        </w:rPr>
        <w:t>...............................................................21</w:t>
      </w:r>
    </w:p>
    <w:p>
      <w:pPr>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bookmarkStart w:id="71" w:name="_GoBack"/>
      <w:bookmarkEnd w:id="71"/>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3"/>
        <w:jc w:val="center"/>
        <w:rPr>
          <w:rStyle w:val="25"/>
          <w:rFonts w:ascii="黑体" w:hAnsi="黑体" w:eastAsia="黑体"/>
          <w:b/>
          <w:bCs w:val="0"/>
          <w:color w:val="auto"/>
          <w:highlight w:val="none"/>
        </w:rPr>
      </w:pPr>
      <w:bookmarkStart w:id="12" w:name="_Toc15396599"/>
      <w:bookmarkStart w:id="13" w:name="_Toc15377196"/>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6"/>
          <w:rFonts w:hint="eastAsia" w:ascii="黑体" w:hAnsi="黑体" w:eastAsia="黑体"/>
          <w:b w:val="0"/>
          <w:bCs w:val="0"/>
          <w:color w:val="auto"/>
          <w:highlight w:val="none"/>
          <w:lang w:eastAsia="zh-CN"/>
        </w:rPr>
      </w:pPr>
      <w:bookmarkStart w:id="14" w:name="_Toc15377197"/>
      <w:bookmarkStart w:id="15" w:name="_Toc15396600"/>
      <w:r>
        <w:rPr>
          <w:rStyle w:val="26"/>
          <w:rFonts w:hint="eastAsia" w:ascii="黑体" w:hAnsi="黑体" w:eastAsia="黑体"/>
          <w:b w:val="0"/>
          <w:bCs w:val="0"/>
          <w:color w:val="auto"/>
          <w:highlight w:val="none"/>
          <w:lang w:eastAsia="zh-CN"/>
        </w:rPr>
        <w:t>主要职责</w:t>
      </w:r>
    </w:p>
    <w:p>
      <w:pPr>
        <w:ind w:firstLine="640" w:firstLineChars="200"/>
        <w:rPr>
          <w:rFonts w:hint="eastAsia"/>
        </w:rPr>
      </w:pPr>
      <w:r>
        <w:rPr>
          <w:rFonts w:hint="eastAsia" w:ascii="仿宋_GB2312" w:eastAsia="仿宋_GB2312"/>
          <w:sz w:val="32"/>
          <w:szCs w:val="32"/>
        </w:rPr>
        <w:t>四川省总工会成都工人疗养院坐落在成都大熊猫繁育研究基地旁，始建于1953年，是直属于四川省总工会的一所集</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"http://www.cdgrlyy.org/news20120103100103_1_1.html" \t "http://www.cdgrlyy.org/about/_blank" </w:instrText>
      </w:r>
      <w:r>
        <w:rPr>
          <w:rFonts w:hint="eastAsia" w:ascii="仿宋_GB2312" w:eastAsia="仿宋_GB2312"/>
          <w:sz w:val="32"/>
          <w:szCs w:val="32"/>
        </w:rPr>
        <w:fldChar w:fldCharType="separate"/>
      </w:r>
      <w:r>
        <w:rPr>
          <w:rFonts w:hint="eastAsia" w:ascii="仿宋_GB2312" w:eastAsia="仿宋_GB2312"/>
          <w:sz w:val="32"/>
          <w:szCs w:val="32"/>
        </w:rPr>
        <w:t>健康体检</w:t>
      </w:r>
      <w:r>
        <w:rPr>
          <w:rFonts w:hint="eastAsia" w:ascii="仿宋_GB2312" w:eastAsia="仿宋_GB2312"/>
          <w:sz w:val="32"/>
          <w:szCs w:val="32"/>
        </w:rPr>
        <w:fldChar w:fldCharType="end"/>
      </w: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"http://www.cdgrlyy.org/news20120920230508_23_1.html" \t "http://www.cdgrlyy.org/about/_blank" </w:instrText>
      </w:r>
      <w:r>
        <w:rPr>
          <w:rFonts w:hint="eastAsia" w:ascii="仿宋_GB2312" w:eastAsia="仿宋_GB2312"/>
          <w:sz w:val="32"/>
          <w:szCs w:val="32"/>
        </w:rPr>
        <w:fldChar w:fldCharType="separate"/>
      </w:r>
      <w:r>
        <w:rPr>
          <w:rFonts w:hint="eastAsia" w:ascii="仿宋_GB2312" w:eastAsia="仿宋_GB2312"/>
          <w:sz w:val="32"/>
          <w:szCs w:val="32"/>
        </w:rPr>
        <w:t>疗休养</w:t>
      </w:r>
      <w:r>
        <w:rPr>
          <w:rFonts w:hint="eastAsia" w:ascii="仿宋_GB2312" w:eastAsia="仿宋_GB2312"/>
          <w:sz w:val="32"/>
          <w:szCs w:val="32"/>
        </w:rPr>
        <w:fldChar w:fldCharType="end"/>
      </w:r>
      <w:r>
        <w:rPr>
          <w:rFonts w:hint="eastAsia" w:ascii="仿宋_GB2312" w:eastAsia="仿宋_GB2312"/>
          <w:sz w:val="32"/>
          <w:szCs w:val="32"/>
        </w:rPr>
        <w:t>和</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"http://www.cdgrlyy.org/news20120920230508_24_1.html" \t "http://www.cdgrlyy.org/about/_blank" </w:instrText>
      </w:r>
      <w:r>
        <w:rPr>
          <w:rFonts w:hint="eastAsia" w:ascii="仿宋_GB2312" w:eastAsia="仿宋_GB2312"/>
          <w:sz w:val="32"/>
          <w:szCs w:val="32"/>
        </w:rPr>
        <w:fldChar w:fldCharType="separate"/>
      </w:r>
      <w:r>
        <w:rPr>
          <w:rFonts w:hint="eastAsia" w:ascii="仿宋_GB2312" w:eastAsia="仿宋_GB2312"/>
          <w:sz w:val="32"/>
          <w:szCs w:val="32"/>
        </w:rPr>
        <w:t>工会干部培训</w:t>
      </w:r>
      <w:r>
        <w:rPr>
          <w:rFonts w:hint="eastAsia" w:ascii="仿宋_GB2312" w:eastAsia="仿宋_GB2312"/>
          <w:sz w:val="32"/>
          <w:szCs w:val="32"/>
        </w:rPr>
        <w:fldChar w:fldCharType="end"/>
      </w:r>
      <w:r>
        <w:rPr>
          <w:rFonts w:hint="eastAsia" w:ascii="仿宋_GB2312" w:eastAsia="仿宋_GB2312"/>
          <w:sz w:val="32"/>
          <w:szCs w:val="32"/>
        </w:rPr>
        <w:t>为一体综合型疗养院。四川省总工会健康体检中心是四川省总工会2012年4月批准设立，是四川省人民医院健康体检中心北区分部，是开展健康体检及健康管理的专业机构，主要从事健康体检、健康教育、健康与亚健康咨询以及保健管理等全方位的医疗健康服务。是四川省工会干部培训基地、劳动模范、职工疗休养基地和职工健康体检基地。</w:t>
      </w:r>
    </w:p>
    <w:p>
      <w:pPr>
        <w:rPr>
          <w:rFonts w:hint="eastAsia"/>
          <w:lang w:eastAsia="zh-CN"/>
        </w:rPr>
      </w:pPr>
    </w:p>
    <w:p>
      <w:pPr>
        <w:pStyle w:val="4"/>
        <w:numPr>
          <w:ilvl w:val="0"/>
          <w:numId w:val="1"/>
        </w:numPr>
        <w:ind w:left="0" w:leftChars="0" w:firstLine="0" w:firstLineChars="0"/>
        <w:rPr>
          <w:rFonts w:hint="eastAsia"/>
          <w:lang w:val="en-US" w:eastAsia="zh-CN"/>
        </w:rPr>
      </w:pPr>
      <w:r>
        <w:rPr>
          <w:rFonts w:hint="eastAsia" w:ascii="黑体" w:hAnsi="黑体" w:eastAsia="黑体"/>
          <w:b w:val="0"/>
          <w:color w:val="auto"/>
          <w:highlight w:val="none"/>
          <w:lang w:val="en-US" w:eastAsia="zh-CN"/>
        </w:rPr>
        <w:t>机构设置</w:t>
      </w:r>
    </w:p>
    <w:bookmarkEnd w:id="14"/>
    <w:bookmarkEnd w:id="15"/>
    <w:p>
      <w:pPr>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四川省总工会成都工人疗养院是直属于四川省总工会的二级预算单位，共设置6个科室，分别是办公室、财务科、总务科、休养所、体检中心、营养餐厅。</w:t>
      </w:r>
      <w:r>
        <w:rPr>
          <w:rFonts w:hint="eastAsia" w:ascii="仿宋_GB2312" w:eastAsia="仿宋_GB2312" w:hAnsiTheme="minorEastAsia" w:cstheme="minorEastAsia"/>
          <w:sz w:val="32"/>
          <w:szCs w:val="32"/>
        </w:rPr>
        <w:t>202</w:t>
      </w:r>
      <w:r>
        <w:rPr>
          <w:rFonts w:hint="eastAsia" w:ascii="仿宋_GB2312" w:eastAsia="仿宋_GB2312" w:hAnsiTheme="minorEastAsia" w:cstheme="minorEastAsia"/>
          <w:sz w:val="32"/>
          <w:szCs w:val="32"/>
          <w:lang w:val="en-US" w:eastAsia="zh-CN"/>
        </w:rPr>
        <w:t>2</w:t>
      </w:r>
      <w:r>
        <w:rPr>
          <w:rFonts w:hint="eastAsia" w:ascii="仿宋_GB2312" w:eastAsia="仿宋_GB2312" w:hAnsiTheme="minorEastAsia" w:cstheme="minorEastAsia"/>
          <w:sz w:val="32"/>
          <w:szCs w:val="32"/>
        </w:rPr>
        <w:t>年内设机构无变动。</w:t>
      </w:r>
    </w:p>
    <w:p>
      <w:pPr>
        <w:ind w:firstLine="640" w:firstLineChars="200"/>
        <w:rPr>
          <w:rFonts w:hint="eastAsia" w:ascii="仿宋_GB2312" w:eastAsia="仿宋_GB2312"/>
          <w:sz w:val="32"/>
          <w:szCs w:val="32"/>
        </w:rPr>
      </w:pPr>
      <w:r>
        <w:rPr>
          <w:rFonts w:hint="eastAsia" w:ascii="仿宋_GB2312" w:eastAsia="仿宋_GB2312"/>
          <w:sz w:val="32"/>
          <w:szCs w:val="32"/>
        </w:rPr>
        <w:br w:type="page"/>
      </w:r>
    </w:p>
    <w:p>
      <w:pPr>
        <w:pStyle w:val="3"/>
        <w:ind w:right="440"/>
        <w:jc w:val="center"/>
        <w:rPr>
          <w:rStyle w:val="25"/>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132.40</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4.66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3.64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离休人员工资及生活补助调增。</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
      </w:pPr>
      <w:r>
        <w:drawing>
          <wp:inline distT="0" distB="0" distL="114300" distR="114300">
            <wp:extent cx="5445125" cy="4035425"/>
            <wp:effectExtent l="4445" t="4445" r="6350" b="1397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left"/>
        <w:rPr>
          <w:rFonts w:ascii="仿宋_GB2312" w:eastAsia="仿宋_GB2312"/>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132.40</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132.40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2"/>
      </w:pPr>
      <w:r>
        <w:drawing>
          <wp:inline distT="0" distB="0" distL="114300" distR="114300">
            <wp:extent cx="5737225" cy="3382645"/>
            <wp:effectExtent l="4445" t="5080" r="19050" b="10795"/>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132.40</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132.40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pStyle w:val="2"/>
      </w:pPr>
      <w:r>
        <w:drawing>
          <wp:inline distT="0" distB="0" distL="114300" distR="114300">
            <wp:extent cx="5649595" cy="3082290"/>
            <wp:effectExtent l="4445" t="4445" r="15240" b="698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rPr>
          <w:rFonts w:ascii="仿宋" w:hAnsi="仿宋" w:eastAsia="仿宋"/>
          <w:color w:val="FF0000"/>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132.40</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4.66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3.64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离休人员工资及生活补助调增。</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2"/>
        <w:rPr>
          <w:rFonts w:hint="eastAsia"/>
        </w:rPr>
      </w:pPr>
      <w:r>
        <w:drawing>
          <wp:inline distT="0" distB="0" distL="114300" distR="114300">
            <wp:extent cx="5503545" cy="4392930"/>
            <wp:effectExtent l="4445" t="4445" r="8890" b="698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rPr>
          <w:rFonts w:ascii="仿宋" w:hAnsi="仿宋" w:eastAsia="仿宋"/>
          <w:b/>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132.40</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4.66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3.64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离休人员工资及生活补助调增。</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pStyle w:val="2"/>
      </w:pPr>
      <w:r>
        <w:drawing>
          <wp:inline distT="0" distB="0" distL="114300" distR="114300">
            <wp:extent cx="5544820" cy="3806190"/>
            <wp:effectExtent l="4445" t="4445" r="13335" b="1460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ascii="仿宋" w:hAnsi="仿宋" w:eastAsia="仿宋"/>
          <w:color w:val="FF0000"/>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132.40</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132.40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Style w:val="2"/>
        <w:rPr>
          <w:rFonts w:hint="eastAsia"/>
        </w:rPr>
      </w:pPr>
      <w:r>
        <w:drawing>
          <wp:inline distT="0" distB="0" distL="114300" distR="114300">
            <wp:extent cx="5452745" cy="3601085"/>
            <wp:effectExtent l="4445" t="4445" r="13970" b="6350"/>
            <wp:docPr id="41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8460"/>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132.40万元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1"/>
      <w:bookmarkEnd w:id="32"/>
      <w:bookmarkEnd w:id="33"/>
    </w:p>
    <w:p>
      <w:pPr>
        <w:numPr>
          <w:ilvl w:val="0"/>
          <w:numId w:val="0"/>
        </w:numPr>
        <w:spacing w:line="600" w:lineRule="exact"/>
        <w:ind w:firstLine="643" w:firstLineChars="200"/>
        <w:outlineLvl w:val="2"/>
        <w:rPr>
          <w:rFonts w:ascii="仿宋" w:hAnsi="仿宋" w:eastAsia="仿宋"/>
          <w:sz w:val="32"/>
          <w:szCs w:val="32"/>
        </w:rPr>
      </w:pPr>
      <w:bookmarkStart w:id="34" w:name="_Toc80277866"/>
      <w:r>
        <w:rPr>
          <w:rStyle w:val="15"/>
          <w:rFonts w:hint="eastAsia" w:ascii="仿宋" w:hAnsi="仿宋" w:eastAsia="仿宋"/>
          <w:bCs/>
          <w:sz w:val="32"/>
          <w:szCs w:val="32"/>
          <w:lang w:val="en-US" w:eastAsia="zh-CN"/>
        </w:rPr>
        <w:t>1.</w:t>
      </w:r>
      <w:r>
        <w:rPr>
          <w:rStyle w:val="15"/>
          <w:rFonts w:hint="eastAsia" w:ascii="仿宋" w:hAnsi="仿宋" w:eastAsia="仿宋"/>
          <w:bCs/>
          <w:sz w:val="32"/>
          <w:szCs w:val="32"/>
        </w:rPr>
        <w:t>社会保障和就业（类）行政事业单位养老支出（款）事业单位离退休（项）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84.21</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bookmarkEnd w:id="34"/>
    </w:p>
    <w:p>
      <w:pPr>
        <w:spacing w:line="600" w:lineRule="exact"/>
        <w:ind w:firstLine="643" w:firstLineChars="200"/>
        <w:outlineLvl w:val="2"/>
        <w:rPr>
          <w:rFonts w:ascii="仿宋" w:hAnsi="仿宋" w:eastAsia="仿宋"/>
          <w:sz w:val="32"/>
          <w:szCs w:val="32"/>
        </w:rPr>
      </w:pPr>
      <w:bookmarkStart w:id="35" w:name="_Toc80277867"/>
      <w:r>
        <w:rPr>
          <w:rStyle w:val="15"/>
          <w:rFonts w:hint="eastAsia" w:ascii="仿宋" w:hAnsi="仿宋" w:eastAsia="仿宋"/>
          <w:bCs/>
          <w:sz w:val="32"/>
          <w:szCs w:val="32"/>
          <w:lang w:val="en-US" w:eastAsia="zh-CN"/>
        </w:rPr>
        <w:t>2.</w:t>
      </w:r>
      <w:r>
        <w:rPr>
          <w:rStyle w:val="15"/>
          <w:rFonts w:hint="eastAsia" w:ascii="仿宋" w:hAnsi="仿宋" w:eastAsia="仿宋"/>
          <w:bCs/>
          <w:sz w:val="32"/>
          <w:szCs w:val="32"/>
        </w:rPr>
        <w:t>社会保障和就业（类）行政事业单位养老支出（款）机关事业单位基本养老保险缴费支出（项）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31.68</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bookmarkEnd w:id="35"/>
    </w:p>
    <w:p>
      <w:pPr>
        <w:spacing w:line="600" w:lineRule="exact"/>
        <w:ind w:firstLine="643" w:firstLineChars="200"/>
        <w:outlineLvl w:val="2"/>
        <w:rPr>
          <w:rFonts w:ascii="仿宋" w:hAnsi="仿宋" w:eastAsia="仿宋"/>
          <w:sz w:val="32"/>
          <w:szCs w:val="32"/>
        </w:rPr>
      </w:pPr>
      <w:bookmarkStart w:id="36" w:name="_Toc80277868"/>
      <w:r>
        <w:rPr>
          <w:rStyle w:val="15"/>
          <w:rFonts w:hint="eastAsia" w:ascii="仿宋" w:hAnsi="仿宋" w:eastAsia="仿宋"/>
          <w:bCs/>
          <w:sz w:val="32"/>
          <w:szCs w:val="32"/>
          <w:lang w:val="en-US" w:eastAsia="zh-CN"/>
        </w:rPr>
        <w:t>3.</w:t>
      </w:r>
      <w:r>
        <w:rPr>
          <w:rStyle w:val="15"/>
          <w:rFonts w:hint="eastAsia" w:ascii="仿宋" w:hAnsi="仿宋" w:eastAsia="仿宋"/>
          <w:bCs/>
          <w:sz w:val="32"/>
          <w:szCs w:val="32"/>
        </w:rPr>
        <w:t>社会保障和就业（类）行政事业单位养老支出（款）事机关事业单位职业年金缴费支出（项）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15.83</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bookmarkEnd w:id="36"/>
    </w:p>
    <w:p>
      <w:pPr>
        <w:spacing w:line="600" w:lineRule="exact"/>
        <w:ind w:firstLine="643" w:firstLineChars="200"/>
        <w:outlineLvl w:val="2"/>
        <w:rPr>
          <w:rFonts w:ascii="仿宋" w:hAnsi="仿宋" w:eastAsia="仿宋"/>
          <w:b/>
          <w:color w:val="auto"/>
          <w:sz w:val="32"/>
          <w:szCs w:val="32"/>
          <w:highlight w:val="none"/>
        </w:rPr>
      </w:pPr>
      <w:bookmarkStart w:id="37" w:name="_Toc80277869"/>
      <w:r>
        <w:rPr>
          <w:rStyle w:val="15"/>
          <w:rFonts w:hint="eastAsia" w:ascii="仿宋" w:hAnsi="仿宋" w:eastAsia="仿宋"/>
          <w:bCs/>
          <w:sz w:val="32"/>
          <w:szCs w:val="32"/>
          <w:lang w:val="en-US" w:eastAsia="zh-CN"/>
        </w:rPr>
        <w:t>4.</w:t>
      </w:r>
      <w:r>
        <w:rPr>
          <w:rStyle w:val="15"/>
          <w:rFonts w:hint="eastAsia" w:ascii="仿宋" w:hAnsi="仿宋" w:eastAsia="仿宋"/>
          <w:bCs/>
          <w:sz w:val="32"/>
          <w:szCs w:val="32"/>
        </w:rPr>
        <w:t>社会保障和就业（类）其他社会保障和就业支出（款）其他社会保障和就业支出（项）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0.68</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bookmarkEnd w:id="37"/>
    </w:p>
    <w:p>
      <w:pPr>
        <w:tabs>
          <w:tab w:val="right" w:pos="8306"/>
        </w:tabs>
        <w:spacing w:line="600" w:lineRule="exact"/>
        <w:ind w:firstLine="640"/>
        <w:outlineLvl w:val="1"/>
        <w:rPr>
          <w:rStyle w:val="26"/>
          <w:color w:val="auto"/>
          <w:highlight w:val="none"/>
        </w:rPr>
      </w:pPr>
      <w:bookmarkStart w:id="38" w:name="_Toc15377214"/>
      <w:bookmarkStart w:id="39"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8"/>
      <w:bookmarkEnd w:id="39"/>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132.40</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130.52</w:t>
      </w:r>
      <w:r>
        <w:rPr>
          <w:rFonts w:hint="eastAsia" w:ascii="仿宋" w:hAnsi="仿宋" w:eastAsia="仿宋"/>
          <w:color w:val="auto"/>
          <w:sz w:val="32"/>
          <w:szCs w:val="32"/>
          <w:highlight w:val="none"/>
        </w:rPr>
        <w:t>万元，主要包括：机关事业单位基本养老保险缴费、职业年金缴费、离休费、其他对个人和家庭的补助支出等。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1.88</w:t>
      </w:r>
      <w:r>
        <w:rPr>
          <w:rFonts w:hint="eastAsia" w:ascii="仿宋" w:hAnsi="仿宋" w:eastAsia="仿宋"/>
          <w:color w:val="auto"/>
          <w:sz w:val="32"/>
          <w:szCs w:val="32"/>
          <w:highlight w:val="none"/>
        </w:rPr>
        <w:t>万元，包括：其他商品和服务支出。</w:t>
      </w:r>
    </w:p>
    <w:p>
      <w:pPr>
        <w:spacing w:line="600" w:lineRule="exact"/>
        <w:ind w:firstLine="640"/>
        <w:outlineLvl w:val="1"/>
        <w:rPr>
          <w:rStyle w:val="26"/>
          <w:rFonts w:ascii="黑体" w:hAnsi="黑体" w:eastAsia="黑体"/>
          <w:b w:val="0"/>
          <w:color w:val="auto"/>
          <w:highlight w:val="none"/>
        </w:rPr>
      </w:pPr>
      <w:bookmarkStart w:id="40" w:name="_Toc15396609"/>
      <w:bookmarkStart w:id="41" w:name="_Toc15377215"/>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40"/>
      <w:bookmarkEnd w:id="41"/>
    </w:p>
    <w:p>
      <w:pPr>
        <w:spacing w:line="600" w:lineRule="exact"/>
        <w:ind w:firstLine="640"/>
        <w:outlineLvl w:val="2"/>
        <w:rPr>
          <w:rFonts w:ascii="仿宋" w:hAnsi="仿宋" w:eastAsia="仿宋"/>
          <w:b/>
          <w:color w:val="auto"/>
          <w:sz w:val="32"/>
          <w:szCs w:val="32"/>
          <w:highlight w:val="none"/>
        </w:rPr>
      </w:pPr>
      <w:bookmarkStart w:id="42" w:name="_Toc15377216"/>
      <w:r>
        <w:rPr>
          <w:rFonts w:hint="eastAsia" w:ascii="仿宋" w:hAnsi="仿宋" w:eastAsia="仿宋"/>
          <w:b/>
          <w:color w:val="auto"/>
          <w:sz w:val="32"/>
          <w:szCs w:val="32"/>
          <w:highlight w:val="none"/>
        </w:rPr>
        <w:t>（一）“三公”经费财政拨款支出决算总体情况说明</w:t>
      </w:r>
      <w:bookmarkEnd w:id="42"/>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较上年无增减变化</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43" w:name="_Toc15377217"/>
      <w:r>
        <w:rPr>
          <w:rFonts w:hint="eastAsia" w:ascii="仿宋" w:hAnsi="仿宋" w:eastAsia="仿宋"/>
          <w:b/>
          <w:color w:val="auto"/>
          <w:sz w:val="32"/>
          <w:szCs w:val="32"/>
          <w:highlight w:val="none"/>
        </w:rPr>
        <w:t>（二）“三公”经费财政拨款支出决算具体情况说明</w:t>
      </w:r>
      <w:bookmarkEnd w:id="43"/>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Style w:val="15"/>
          <w:rFonts w:hint="eastAsia" w:ascii="仿宋" w:hAnsi="仿宋" w:eastAsia="仿宋" w:cstheme="minorBidi"/>
          <w:b w:val="0"/>
          <w:bCs/>
          <w:color w:val="000000" w:themeColor="text1"/>
          <w:sz w:val="32"/>
          <w:szCs w:val="32"/>
          <w:highlight w:val="none"/>
          <w14:textFill>
            <w14:solidFill>
              <w14:schemeClr w14:val="tx1"/>
            </w14:solidFill>
          </w14:textFill>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000000" w:themeColor="text1"/>
          <w:sz w:val="32"/>
          <w:szCs w:val="32"/>
          <w:highlight w:val="none"/>
          <w14:textFill>
            <w14:solidFill>
              <w14:schemeClr w14:val="tx1"/>
            </w14:solidFill>
          </w14:textFill>
        </w:rPr>
        <w:t>完成预算</w:t>
      </w:r>
      <w:r>
        <w:rPr>
          <w:rStyle w:val="15"/>
          <w:rFonts w:hint="eastAsia" w:ascii="仿宋" w:hAnsi="仿宋" w:eastAsia="仿宋"/>
          <w:b w:val="0"/>
          <w:bCs/>
          <w:color w:val="000000" w:themeColor="text1"/>
          <w:sz w:val="32"/>
          <w:szCs w:val="32"/>
          <w:highlight w:val="none"/>
          <w:lang w:val="en-US" w:eastAsia="zh-CN"/>
          <w14:textFill>
            <w14:solidFill>
              <w14:schemeClr w14:val="tx1"/>
            </w14:solidFill>
          </w14:textFill>
        </w:rPr>
        <w:t>100</w:t>
      </w:r>
      <w:r>
        <w:rPr>
          <w:rStyle w:val="15"/>
          <w:rFonts w:ascii="仿宋" w:hAnsi="仿宋" w:eastAsia="仿宋"/>
          <w:b w:val="0"/>
          <w:bCs/>
          <w:color w:val="000000" w:themeColor="text1"/>
          <w:sz w:val="32"/>
          <w:szCs w:val="32"/>
          <w:highlight w:val="none"/>
          <w14:textFill>
            <w14:solidFill>
              <w14:schemeClr w14:val="tx1"/>
            </w14:solidFill>
          </w14:textFill>
        </w:rPr>
        <w:t>%</w:t>
      </w:r>
      <w:r>
        <w:rPr>
          <w:rStyle w:val="15"/>
          <w:rFonts w:hint="eastAsia" w:ascii="仿宋" w:hAnsi="仿宋" w:eastAsia="仿宋"/>
          <w:b w:val="0"/>
          <w:bCs/>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全年安排因公出国（境）团组</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次，出国（境）</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人。</w:t>
      </w:r>
      <w:r>
        <w:rPr>
          <w:rStyle w:val="15"/>
          <w:rFonts w:hint="eastAsia" w:ascii="仿宋" w:hAnsi="仿宋" w:eastAsia="仿宋" w:cstheme="minorBidi"/>
          <w:b w:val="0"/>
          <w:bCs/>
          <w:color w:val="000000" w:themeColor="text1"/>
          <w:sz w:val="32"/>
          <w:szCs w:val="32"/>
          <w:highlight w:val="none"/>
          <w14:textFill>
            <w14:solidFill>
              <w14:schemeClr w14:val="tx1"/>
            </w14:solidFill>
          </w14:textFill>
        </w:rPr>
        <w:t>因公出国（境）支出决算</w:t>
      </w:r>
      <w:r>
        <w:rPr>
          <w:rStyle w:val="15"/>
          <w:rFonts w:hint="eastAsia" w:ascii="仿宋" w:hAnsi="仿宋" w:eastAsia="仿宋" w:cstheme="minorBidi"/>
          <w:b w:val="0"/>
          <w:bCs/>
          <w:color w:val="000000" w:themeColor="text1"/>
          <w:sz w:val="32"/>
          <w:szCs w:val="32"/>
          <w:highlight w:val="none"/>
          <w:lang w:eastAsia="zh-CN"/>
          <w14:textFill>
            <w14:solidFill>
              <w14:schemeClr w14:val="tx1"/>
            </w14:solidFill>
          </w14:textFill>
        </w:rPr>
        <w:t>与</w:t>
      </w:r>
      <w:r>
        <w:rPr>
          <w:rStyle w:val="15"/>
          <w:rFonts w:hint="eastAsia" w:ascii="仿宋" w:hAnsi="仿宋" w:eastAsia="仿宋" w:cstheme="minorBidi"/>
          <w:b w:val="0"/>
          <w:bCs/>
          <w:color w:val="000000" w:themeColor="text1"/>
          <w:sz w:val="32"/>
          <w:szCs w:val="32"/>
          <w:highlight w:val="none"/>
          <w14:textFill>
            <w14:solidFill>
              <w14:schemeClr w14:val="tx1"/>
            </w14:solidFill>
          </w14:textFill>
        </w:rPr>
        <w:t>20</w:t>
      </w:r>
      <w:r>
        <w:rPr>
          <w:rStyle w:val="15"/>
          <w:rFonts w:hint="eastAsia" w:ascii="仿宋" w:hAnsi="仿宋" w:eastAsia="仿宋" w:cstheme="minorBidi"/>
          <w:b w:val="0"/>
          <w:bCs/>
          <w:color w:val="000000" w:themeColor="text1"/>
          <w:sz w:val="32"/>
          <w:szCs w:val="32"/>
          <w:highlight w:val="none"/>
          <w:lang w:val="en-US" w:eastAsia="zh-CN"/>
          <w14:textFill>
            <w14:solidFill>
              <w14:schemeClr w14:val="tx1"/>
            </w14:solidFill>
          </w14:textFill>
        </w:rPr>
        <w:t>21</w:t>
      </w:r>
      <w:r>
        <w:rPr>
          <w:rStyle w:val="15"/>
          <w:rFonts w:hint="eastAsia" w:ascii="仿宋" w:hAnsi="仿宋" w:eastAsia="仿宋" w:cstheme="minorBidi"/>
          <w:b w:val="0"/>
          <w:bCs/>
          <w:color w:val="000000" w:themeColor="text1"/>
          <w:sz w:val="32"/>
          <w:szCs w:val="32"/>
          <w:highlight w:val="none"/>
          <w14:textFill>
            <w14:solidFill>
              <w14:schemeClr w14:val="tx1"/>
            </w14:solidFill>
          </w14:textFill>
        </w:rPr>
        <w:t>年</w:t>
      </w:r>
      <w:r>
        <w:rPr>
          <w:rStyle w:val="15"/>
          <w:rFonts w:hint="eastAsia" w:ascii="仿宋" w:hAnsi="仿宋" w:eastAsia="仿宋" w:cstheme="minorBidi"/>
          <w:b w:val="0"/>
          <w:bCs/>
          <w:color w:val="000000" w:themeColor="text1"/>
          <w:sz w:val="32"/>
          <w:szCs w:val="32"/>
          <w:highlight w:val="none"/>
          <w:lang w:eastAsia="zh-CN"/>
          <w14:textFill>
            <w14:solidFill>
              <w14:schemeClr w14:val="tx1"/>
            </w14:solidFill>
          </w14:textFill>
        </w:rPr>
        <w:t>相比无增减变化</w:t>
      </w:r>
      <w:r>
        <w:rPr>
          <w:rStyle w:val="15"/>
          <w:rFonts w:hint="eastAsia" w:ascii="仿宋" w:hAnsi="仿宋" w:eastAsia="仿宋" w:cstheme="minorBidi"/>
          <w:b w:val="0"/>
          <w:bCs/>
          <w:color w:val="000000" w:themeColor="text1"/>
          <w:sz w:val="32"/>
          <w:szCs w:val="32"/>
          <w:highlight w:val="none"/>
          <w14:textFill>
            <w14:solidFill>
              <w14:schemeClr w14:val="tx1"/>
            </w14:solidFill>
          </w14:textFill>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相比无增减变化</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b/>
          <w:color w:val="auto"/>
          <w:sz w:val="32"/>
          <w:szCs w:val="32"/>
          <w:highlight w:val="none"/>
          <w:lang w:eastAsia="zh-CN"/>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相比无增减变化</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44" w:name="_Toc15396610"/>
      <w:bookmarkStart w:id="45" w:name="_Toc15377218"/>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4"/>
      <w:bookmarkEnd w:id="45"/>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ascii="黑体" w:hAnsi="黑体" w:eastAsia="黑体"/>
          <w:b w:val="0"/>
          <w:color w:val="auto"/>
          <w:highlight w:val="none"/>
        </w:rPr>
      </w:pPr>
      <w:bookmarkStart w:id="46" w:name="_Toc15396611"/>
      <w:bookmarkStart w:id="47" w:name="_Toc15377219"/>
      <w:r>
        <w:rPr>
          <w:rStyle w:val="26"/>
          <w:rFonts w:hint="eastAsia" w:ascii="黑体" w:hAnsi="黑体" w:eastAsia="黑体"/>
          <w:b w:val="0"/>
          <w:color w:val="auto"/>
          <w:highlight w:val="none"/>
        </w:rPr>
        <w:t>国有资本经营预算支出决算情况说明</w:t>
      </w:r>
      <w:bookmarkEnd w:id="46"/>
      <w:bookmarkEnd w:id="47"/>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hint="eastAsia" w:ascii="黑体" w:hAnsi="黑体" w:eastAsia="黑体"/>
          <w:b w:val="0"/>
          <w:color w:val="auto"/>
          <w:highlight w:val="none"/>
        </w:rPr>
      </w:pPr>
      <w:bookmarkStart w:id="48" w:name="_Toc15377221"/>
      <w:bookmarkStart w:id="49" w:name="_Toc15396612"/>
      <w:r>
        <w:rPr>
          <w:rStyle w:val="26"/>
          <w:rFonts w:hint="eastAsia" w:ascii="黑体" w:hAnsi="黑体" w:eastAsia="黑体"/>
          <w:b w:val="0"/>
          <w:color w:val="auto"/>
          <w:highlight w:val="none"/>
        </w:rPr>
        <w:t>其他重要事项的情况说明</w:t>
      </w:r>
      <w:bookmarkEnd w:id="48"/>
      <w:bookmarkEnd w:id="49"/>
    </w:p>
    <w:p>
      <w:pPr>
        <w:numPr>
          <w:ilvl w:val="0"/>
          <w:numId w:val="4"/>
        </w:numPr>
        <w:spacing w:line="600" w:lineRule="exact"/>
        <w:ind w:firstLine="643" w:firstLineChars="200"/>
        <w:outlineLvl w:val="2"/>
        <w:rPr>
          <w:rFonts w:hint="eastAsia" w:ascii="仿宋" w:hAnsi="仿宋" w:eastAsia="仿宋"/>
          <w:b/>
          <w:color w:val="auto"/>
          <w:sz w:val="32"/>
          <w:szCs w:val="32"/>
          <w:highlight w:val="none"/>
        </w:rPr>
      </w:pPr>
      <w:bookmarkStart w:id="50" w:name="_Toc15377222"/>
      <w:r>
        <w:rPr>
          <w:rFonts w:hint="eastAsia" w:ascii="仿宋" w:hAnsi="仿宋" w:eastAsia="仿宋"/>
          <w:b/>
          <w:color w:val="auto"/>
          <w:sz w:val="32"/>
          <w:szCs w:val="32"/>
          <w:highlight w:val="none"/>
        </w:rPr>
        <w:t>机关运行经费支出情况</w:t>
      </w:r>
      <w:bookmarkEnd w:id="50"/>
    </w:p>
    <w:p>
      <w:pPr>
        <w:pStyle w:val="2"/>
        <w:numPr>
          <w:ilvl w:val="0"/>
          <w:numId w:val="0"/>
        </w:numPr>
        <w:ind w:firstLine="640" w:firstLineChars="200"/>
      </w:pPr>
      <w:r>
        <w:rPr>
          <w:rFonts w:hint="eastAsia" w:ascii="仿宋" w:hAnsi="仿宋" w:eastAsia="仿宋" w:cs="仿宋"/>
          <w:sz w:val="32"/>
          <w:szCs w:val="32"/>
        </w:rPr>
        <w:t>省总工会成都工人疗养院为事业单位，按规定未使用机关运行的相关科目。</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1" w:name="_Toc15377223"/>
      <w:r>
        <w:rPr>
          <w:rFonts w:hint="eastAsia" w:ascii="仿宋" w:hAnsi="仿宋" w:eastAsia="仿宋"/>
          <w:b/>
          <w:color w:val="auto"/>
          <w:sz w:val="32"/>
          <w:szCs w:val="32"/>
          <w:highlight w:val="none"/>
        </w:rPr>
        <w:t>（二）政府采购支出情况</w:t>
      </w:r>
      <w:bookmarkEnd w:id="51"/>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 w:hAnsi="仿宋" w:eastAsia="仿宋"/>
          <w:sz w:val="32"/>
          <w:szCs w:val="32"/>
        </w:rPr>
        <w:t>省总工会成都工人疗养院政府采购支出总额0万元，</w:t>
      </w:r>
      <w:r>
        <w:rPr>
          <w:rFonts w:hint="eastAsia" w:ascii="仿宋_GB2312" w:eastAsia="仿宋_GB2312"/>
          <w:sz w:val="32"/>
          <w:szCs w:val="32"/>
        </w:rPr>
        <w:t>其中：政府采购货物支出0万元、政府采购工程支出0万元、政府采购服务支出0万元。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2" w:name="_Toc15377224"/>
      <w:r>
        <w:rPr>
          <w:rFonts w:hint="eastAsia" w:ascii="仿宋" w:hAnsi="仿宋" w:eastAsia="仿宋"/>
          <w:b/>
          <w:color w:val="auto"/>
          <w:sz w:val="32"/>
          <w:szCs w:val="32"/>
          <w:highlight w:val="none"/>
        </w:rPr>
        <w:t>（三）国有资产占有使用情况</w:t>
      </w:r>
      <w:bookmarkEnd w:id="52"/>
    </w:p>
    <w:p>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 w:hAnsi="仿宋" w:eastAsia="仿宋" w:cs="仿宋"/>
          <w:sz w:val="32"/>
          <w:szCs w:val="32"/>
        </w:rPr>
        <w:t>省总工会成都工人疗养院</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单价100万元（含）以上设备（不含车辆）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rFonts w:hint="eastAsia" w:eastAsia="仿宋_GB2312"/>
          <w:sz w:val="32"/>
          <w:szCs w:val="32"/>
          <w:lang w:val="en-US" w:eastAsia="zh-CN"/>
        </w:rPr>
      </w:pPr>
      <w:r>
        <w:rPr>
          <w:rFonts w:hint="eastAsia"/>
          <w:sz w:val="32"/>
          <w:szCs w:val="32"/>
        </w:rPr>
        <w:t>根据预算绩效管理要求，本单位在202</w:t>
      </w:r>
      <w:r>
        <w:rPr>
          <w:rFonts w:hint="eastAsia"/>
          <w:sz w:val="32"/>
          <w:szCs w:val="32"/>
          <w:lang w:val="en-US" w:eastAsia="zh-CN"/>
        </w:rPr>
        <w:t>2</w:t>
      </w:r>
      <w:r>
        <w:rPr>
          <w:rFonts w:hint="eastAsia"/>
          <w:sz w:val="32"/>
          <w:szCs w:val="32"/>
        </w:rPr>
        <w:t>年预算编制</w:t>
      </w:r>
      <w:r>
        <w:rPr>
          <w:rFonts w:hint="eastAsia"/>
          <w:sz w:val="32"/>
          <w:szCs w:val="32"/>
          <w:lang w:eastAsia="zh-CN"/>
        </w:rPr>
        <w:t>阶段</w:t>
      </w:r>
      <w:r>
        <w:rPr>
          <w:rFonts w:hint="eastAsia"/>
          <w:sz w:val="32"/>
          <w:szCs w:val="32"/>
        </w:rPr>
        <w:t>，只涉及在职人员部分缴费及离退休人员经费</w:t>
      </w:r>
      <w:r>
        <w:rPr>
          <w:rFonts w:hint="eastAsia"/>
          <w:sz w:val="32"/>
          <w:szCs w:val="32"/>
          <w:lang w:eastAsia="zh-CN"/>
        </w:rPr>
        <w:t>等基本支出</w:t>
      </w:r>
      <w:r>
        <w:rPr>
          <w:rFonts w:hint="eastAsia"/>
          <w:sz w:val="32"/>
          <w:szCs w:val="32"/>
        </w:rPr>
        <w:t>，无</w:t>
      </w:r>
      <w:r>
        <w:rPr>
          <w:rFonts w:hint="eastAsia"/>
          <w:sz w:val="32"/>
          <w:szCs w:val="32"/>
          <w:lang w:eastAsia="zh-CN"/>
        </w:rPr>
        <w:t>专项资金</w:t>
      </w:r>
      <w:r>
        <w:rPr>
          <w:rFonts w:hint="eastAsia"/>
          <w:sz w:val="32"/>
          <w:szCs w:val="32"/>
        </w:rPr>
        <w:t>项目，未开展项目事前绩效评估，</w:t>
      </w:r>
      <w:r>
        <w:rPr>
          <w:rFonts w:hint="eastAsia"/>
          <w:sz w:val="32"/>
          <w:szCs w:val="32"/>
          <w:lang w:eastAsia="zh-CN"/>
        </w:rPr>
        <w:t>组织对单位缴费、离退休费支出、其他补助支出、离退休公用等</w:t>
      </w:r>
      <w:r>
        <w:rPr>
          <w:rFonts w:hint="eastAsia"/>
          <w:sz w:val="32"/>
          <w:szCs w:val="32"/>
          <w:lang w:val="en-US" w:eastAsia="zh-CN"/>
        </w:rPr>
        <w:t>4个项目编制了绩效目标，</w:t>
      </w:r>
      <w:r>
        <w:rPr>
          <w:rFonts w:hint="eastAsia"/>
          <w:sz w:val="32"/>
          <w:szCs w:val="32"/>
        </w:rPr>
        <w:t>预算执行过程中，对</w:t>
      </w:r>
      <w:r>
        <w:rPr>
          <w:rFonts w:hint="eastAsia"/>
          <w:sz w:val="32"/>
          <w:szCs w:val="32"/>
          <w:lang w:eastAsia="zh-CN"/>
        </w:rPr>
        <w:t>上述</w:t>
      </w:r>
      <w:r>
        <w:rPr>
          <w:rFonts w:hint="eastAsia"/>
          <w:sz w:val="32"/>
          <w:szCs w:val="32"/>
          <w:lang w:val="en-US" w:eastAsia="zh-CN"/>
        </w:rPr>
        <w:t>4个项目开展绩效监控</w:t>
      </w:r>
      <w:r>
        <w:rPr>
          <w:rFonts w:hint="eastAsia"/>
          <w:sz w:val="32"/>
          <w:szCs w:val="32"/>
        </w:rPr>
        <w:t>，年终执行完毕后，</w:t>
      </w:r>
      <w:r>
        <w:rPr>
          <w:rFonts w:hint="eastAsia"/>
          <w:sz w:val="32"/>
          <w:szCs w:val="32"/>
          <w:lang w:eastAsia="zh-CN"/>
        </w:rPr>
        <w:t>组织对上述</w:t>
      </w:r>
      <w:r>
        <w:rPr>
          <w:rFonts w:hint="eastAsia"/>
          <w:sz w:val="32"/>
          <w:szCs w:val="32"/>
          <w:lang w:val="en-US" w:eastAsia="zh-CN"/>
        </w:rPr>
        <w:t>4个</w:t>
      </w:r>
      <w:r>
        <w:rPr>
          <w:rFonts w:hint="eastAsia"/>
          <w:sz w:val="32"/>
          <w:szCs w:val="32"/>
        </w:rPr>
        <w:t>项目</w:t>
      </w:r>
      <w:r>
        <w:rPr>
          <w:rFonts w:hint="eastAsia"/>
          <w:sz w:val="32"/>
          <w:szCs w:val="32"/>
          <w:lang w:eastAsia="zh-CN"/>
        </w:rPr>
        <w:t>开展</w:t>
      </w:r>
      <w:r>
        <w:rPr>
          <w:rFonts w:hint="eastAsia"/>
          <w:sz w:val="32"/>
          <w:szCs w:val="32"/>
        </w:rPr>
        <w:t>绩效自评。</w:t>
      </w:r>
      <w:r>
        <w:rPr>
          <w:rFonts w:hint="eastAsia"/>
          <w:sz w:val="32"/>
          <w:szCs w:val="32"/>
          <w:lang w:val="en-US" w:eastAsia="zh-CN"/>
        </w:rPr>
        <w:t>本单位</w:t>
      </w:r>
      <w:r>
        <w:rPr>
          <w:rFonts w:hint="eastAsia"/>
          <w:sz w:val="32"/>
          <w:szCs w:val="32"/>
        </w:rPr>
        <w:t>组织开展了202</w:t>
      </w:r>
      <w:r>
        <w:rPr>
          <w:rFonts w:hint="eastAsia"/>
          <w:sz w:val="32"/>
          <w:szCs w:val="32"/>
          <w:lang w:val="en-US" w:eastAsia="zh-CN"/>
        </w:rPr>
        <w:t>2</w:t>
      </w:r>
      <w:r>
        <w:rPr>
          <w:rFonts w:hint="eastAsia"/>
          <w:sz w:val="32"/>
          <w:szCs w:val="32"/>
        </w:rPr>
        <w:t>年整体支出绩效评价情况自评，形成了《202</w:t>
      </w:r>
      <w:r>
        <w:rPr>
          <w:rFonts w:hint="eastAsia"/>
          <w:sz w:val="32"/>
          <w:szCs w:val="32"/>
          <w:lang w:val="en-US" w:eastAsia="zh-CN"/>
        </w:rPr>
        <w:t>2</w:t>
      </w:r>
      <w:r>
        <w:rPr>
          <w:rFonts w:hint="eastAsia"/>
          <w:sz w:val="32"/>
          <w:szCs w:val="32"/>
        </w:rPr>
        <w:t>年四川省总工会</w:t>
      </w:r>
      <w:r>
        <w:rPr>
          <w:rFonts w:hint="eastAsia"/>
          <w:sz w:val="32"/>
          <w:szCs w:val="32"/>
          <w:lang w:val="en-US" w:eastAsia="zh-CN"/>
        </w:rPr>
        <w:t>成都</w:t>
      </w:r>
      <w:r>
        <w:rPr>
          <w:rFonts w:hint="eastAsia"/>
          <w:sz w:val="32"/>
          <w:szCs w:val="32"/>
        </w:rPr>
        <w:t>工人疗养院整体支出绩效自评报告》见第四部份附件。</w:t>
      </w:r>
    </w:p>
    <w:p>
      <w:pPr>
        <w:pStyle w:val="2"/>
        <w:ind w:firstLine="600" w:firstLineChars="200"/>
        <w:rPr>
          <w:color w:val="FF0000"/>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5"/>
          <w:rFonts w:ascii="黑体" w:hAnsi="黑体" w:eastAsia="黑体"/>
          <w:b w:val="0"/>
          <w:color w:val="auto"/>
          <w:highlight w:val="none"/>
        </w:rPr>
      </w:pPr>
      <w:bookmarkStart w:id="53" w:name="_Toc15377225"/>
      <w:bookmarkStart w:id="54"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53"/>
      <w:bookmarkEnd w:id="54"/>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p>
    <w:p>
      <w:pPr>
        <w:spacing w:line="560" w:lineRule="exact"/>
        <w:ind w:firstLine="640" w:firstLineChars="200"/>
        <w:rPr>
          <w:rFonts w:hint="eastAsia" w:ascii="仿宋_GB2312" w:hAnsi="仿宋" w:eastAsia="仿宋_GB2312" w:cs="仿宋"/>
          <w:color w:val="FF0000"/>
          <w:kern w:val="0"/>
          <w:sz w:val="32"/>
          <w:szCs w:val="32"/>
          <w:lang w:eastAsia="zh-CN"/>
        </w:rPr>
      </w:pPr>
      <w:r>
        <w:rPr>
          <w:rFonts w:hint="eastAsia" w:ascii="仿宋_GB2312" w:hAnsi="Calibri" w:eastAsia="仿宋_GB2312" w:cs="仿宋"/>
          <w:color w:val="000000"/>
          <w:kern w:val="0"/>
          <w:sz w:val="32"/>
          <w:szCs w:val="32"/>
          <w:lang w:val="en-US" w:eastAsia="zh-CN"/>
        </w:rPr>
        <w:t>5</w:t>
      </w:r>
      <w:r>
        <w:rPr>
          <w:rFonts w:hint="eastAsia" w:ascii="仿宋_GB2312" w:hAnsi="Calibri" w:eastAsia="仿宋_GB2312" w:cs="仿宋"/>
          <w:color w:val="000000"/>
          <w:kern w:val="0"/>
          <w:sz w:val="32"/>
          <w:szCs w:val="32"/>
        </w:rPr>
        <w:t>.社会保障和就业（类）行政事业单位离退休（款）事业单位离退休（项）:指反映在政府在社会保障与就业方面支出中，用于行政事业单位离退休方面支出的归口管理的事业单位开支的离退休经费</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社会保障和就业（类）行政事业单位离退休（款）机关事业单位基本养老保险缴费支出（项）:指反映在政府在社会保障与就业方面支出中，用于行政事业单位离退休方面支出的机关事业单位实施养老保险制度由单位缴纳的基本养老保险费支出；社会保障和就业（类）行政事业单位离退休（款）机关事业单位职业年金缴费支出（项）:指反映在政府在社会保障与就业方面支出中，用于行政事业单位离退休方面支出的机关事业单位实施养老保险制度由单位实际缴纳的职业年金支出</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 xml:space="preserve">社会保障和就业（类）其他社会保障和就业支出（款）其他社会保障和就业支出（项）: 指反映在政府在社会保障与就业方面支出中，用于其他社会保障和就业方面的支出。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color w:val="auto"/>
          <w:highlight w:val="none"/>
        </w:rPr>
      </w:pPr>
      <w:bookmarkStart w:id="55" w:name="_Toc15377226"/>
      <w:r>
        <w:rPr>
          <w:rFonts w:ascii="宋体"/>
          <w:b/>
          <w:color w:val="auto"/>
          <w:sz w:val="44"/>
          <w:szCs w:val="44"/>
          <w:highlight w:val="none"/>
        </w:rPr>
        <w:br w:type="page"/>
      </w:r>
      <w:bookmarkStart w:id="56"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6"/>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napToGrid w:val="0"/>
        <w:ind w:firstLine="880" w:firstLineChars="200"/>
        <w:jc w:val="center"/>
        <w:rPr>
          <w:rFonts w:hint="eastAsia" w:ascii="宋体" w:hAnsi="宋体" w:cs="宋体"/>
          <w:color w:val="000000" w:themeColor="text1"/>
          <w:sz w:val="44"/>
          <w:szCs w:val="44"/>
          <w:lang w:val="en-US" w:eastAsia="zh-CN"/>
          <w14:textFill>
            <w14:solidFill>
              <w14:schemeClr w14:val="tx1"/>
            </w14:solidFill>
          </w14:textFill>
        </w:rPr>
      </w:pPr>
      <w:bookmarkStart w:id="57" w:name="_Toc15396618"/>
      <w:r>
        <w:rPr>
          <w:rFonts w:hint="eastAsia" w:ascii="宋体" w:hAnsi="宋体" w:cs="宋体"/>
          <w:color w:val="000000" w:themeColor="text1"/>
          <w:sz w:val="44"/>
          <w:szCs w:val="44"/>
          <w:lang w:val="en-US" w:eastAsia="zh-CN"/>
          <w14:textFill>
            <w14:solidFill>
              <w14:schemeClr w14:val="tx1"/>
            </w14:solidFill>
          </w14:textFill>
        </w:rPr>
        <w:t>2022年四川省总工会成都工人疗养院整体支出绩效自评报告</w:t>
      </w:r>
    </w:p>
    <w:p>
      <w:pPr>
        <w:pStyle w:val="2"/>
        <w:jc w:val="center"/>
        <w:rPr>
          <w:rFonts w:hint="eastAsia"/>
          <w:lang w:val="en-US" w:eastAsia="zh-CN"/>
        </w:rPr>
      </w:pPr>
    </w:p>
    <w:p>
      <w:pPr>
        <w:snapToGrid w:val="0"/>
        <w:spacing w:line="520" w:lineRule="exact"/>
        <w:ind w:firstLine="320" w:firstLineChars="1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一、单位概况</w:t>
      </w:r>
    </w:p>
    <w:p>
      <w:pPr>
        <w:snapToGrid w:val="0"/>
        <w:spacing w:line="520" w:lineRule="exact"/>
        <w:ind w:firstLine="320" w:firstLineChars="1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（一）机构组成</w:t>
      </w:r>
    </w:p>
    <w:p>
      <w:pPr>
        <w:snapToGrid w:val="0"/>
        <w:spacing w:line="52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四川省总工会成都工人疗养院是直属于四川省总工会的二级预算单位，下设办公室、财务科、总务科、休养所、体检中心、餐厅部6个科室。</w:t>
      </w:r>
    </w:p>
    <w:p>
      <w:pPr>
        <w:pStyle w:val="2"/>
        <w:ind w:firstLine="320" w:firstLineChars="100"/>
        <w:rPr>
          <w:rFonts w:hint="eastAsia" w:ascii="仿宋_GB2312" w:hAnsi="Calibri" w:eastAsia="仿宋_GB2312" w:cs="仿宋"/>
          <w:color w:val="auto"/>
          <w:kern w:val="0"/>
          <w:sz w:val="32"/>
          <w:szCs w:val="32"/>
          <w:highlight w:val="none"/>
          <w:lang w:val="en-US" w:eastAsia="zh-CN" w:bidi="ar-SA"/>
        </w:rPr>
      </w:pPr>
      <w:r>
        <w:rPr>
          <w:rFonts w:hint="eastAsia" w:hAnsi="Calibri" w:cs="仿宋"/>
          <w:color w:val="auto"/>
          <w:kern w:val="0"/>
          <w:sz w:val="32"/>
          <w:szCs w:val="32"/>
          <w:highlight w:val="none"/>
          <w:lang w:val="en-US" w:eastAsia="zh-CN" w:bidi="ar-SA"/>
        </w:rPr>
        <w:t>（二）</w:t>
      </w:r>
      <w:r>
        <w:rPr>
          <w:rFonts w:hint="eastAsia" w:ascii="仿宋_GB2312" w:hAnsi="Calibri" w:eastAsia="仿宋_GB2312" w:cs="仿宋"/>
          <w:color w:val="auto"/>
          <w:kern w:val="0"/>
          <w:sz w:val="32"/>
          <w:szCs w:val="32"/>
          <w:highlight w:val="none"/>
          <w:lang w:val="en-US" w:eastAsia="zh-CN" w:bidi="ar-SA"/>
        </w:rPr>
        <w:t>机构职能</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四川省总工会成都工人疗养院坐落在成都大熊猫繁育研究基地旁，始建于1953年，是直属于四川省总工会的一所集</w:t>
      </w:r>
      <w:r>
        <w:rPr>
          <w:rFonts w:hint="eastAsia" w:ascii="仿宋_GB2312" w:hAnsi="Calibri" w:eastAsia="仿宋_GB2312" w:cs="仿宋"/>
          <w:color w:val="auto"/>
          <w:kern w:val="0"/>
          <w:sz w:val="32"/>
          <w:szCs w:val="32"/>
          <w:highlight w:val="none"/>
          <w:lang w:val="en-US" w:eastAsia="zh-CN" w:bidi="ar-SA"/>
        </w:rPr>
        <w:fldChar w:fldCharType="begin"/>
      </w:r>
      <w:r>
        <w:rPr>
          <w:rFonts w:hint="eastAsia" w:ascii="仿宋_GB2312" w:hAnsi="Calibri" w:eastAsia="仿宋_GB2312" w:cs="仿宋"/>
          <w:color w:val="auto"/>
          <w:kern w:val="0"/>
          <w:sz w:val="32"/>
          <w:szCs w:val="32"/>
          <w:highlight w:val="none"/>
          <w:lang w:val="en-US" w:eastAsia="zh-CN" w:bidi="ar-SA"/>
        </w:rPr>
        <w:instrText xml:space="preserve"> HYPERLINK "http://www.cdgrlyy.org/news20120103100103_1_1.html" \t "http://www.cdgrlyy.org/about/_blank" </w:instrText>
      </w:r>
      <w:r>
        <w:rPr>
          <w:rFonts w:hint="eastAsia" w:ascii="仿宋_GB2312" w:hAnsi="Calibri" w:eastAsia="仿宋_GB2312" w:cs="仿宋"/>
          <w:color w:val="auto"/>
          <w:kern w:val="0"/>
          <w:sz w:val="32"/>
          <w:szCs w:val="32"/>
          <w:highlight w:val="none"/>
          <w:lang w:val="en-US" w:eastAsia="zh-CN" w:bidi="ar-SA"/>
        </w:rPr>
        <w:fldChar w:fldCharType="separate"/>
      </w:r>
      <w:r>
        <w:rPr>
          <w:rFonts w:hint="eastAsia" w:ascii="仿宋_GB2312" w:hAnsi="Calibri" w:eastAsia="仿宋_GB2312" w:cs="仿宋"/>
          <w:color w:val="auto"/>
          <w:kern w:val="0"/>
          <w:sz w:val="32"/>
          <w:szCs w:val="32"/>
          <w:highlight w:val="none"/>
          <w:lang w:val="en-US" w:eastAsia="zh-CN" w:bidi="ar-SA"/>
        </w:rPr>
        <w:t>健康体检</w:t>
      </w:r>
      <w:r>
        <w:rPr>
          <w:rFonts w:hint="eastAsia" w:ascii="仿宋_GB2312" w:hAnsi="Calibri" w:eastAsia="仿宋_GB2312" w:cs="仿宋"/>
          <w:color w:val="auto"/>
          <w:kern w:val="0"/>
          <w:sz w:val="32"/>
          <w:szCs w:val="32"/>
          <w:highlight w:val="none"/>
          <w:lang w:val="en-US" w:eastAsia="zh-CN" w:bidi="ar-SA"/>
        </w:rPr>
        <w:fldChar w:fldCharType="end"/>
      </w:r>
      <w:r>
        <w:rPr>
          <w:rFonts w:hint="eastAsia" w:ascii="仿宋_GB2312" w:hAnsi="Calibri" w:eastAsia="仿宋_GB2312" w:cs="仿宋"/>
          <w:color w:val="auto"/>
          <w:kern w:val="0"/>
          <w:sz w:val="32"/>
          <w:szCs w:val="32"/>
          <w:highlight w:val="none"/>
          <w:lang w:val="en-US" w:eastAsia="zh-CN" w:bidi="ar-SA"/>
        </w:rPr>
        <w:t>、</w:t>
      </w:r>
      <w:r>
        <w:rPr>
          <w:rFonts w:hint="eastAsia" w:ascii="仿宋_GB2312" w:hAnsi="Calibri" w:eastAsia="仿宋_GB2312" w:cs="仿宋"/>
          <w:color w:val="auto"/>
          <w:kern w:val="0"/>
          <w:sz w:val="32"/>
          <w:szCs w:val="32"/>
          <w:highlight w:val="none"/>
          <w:lang w:val="en-US" w:eastAsia="zh-CN" w:bidi="ar-SA"/>
        </w:rPr>
        <w:fldChar w:fldCharType="begin"/>
      </w:r>
      <w:r>
        <w:rPr>
          <w:rFonts w:hint="eastAsia" w:ascii="仿宋_GB2312" w:hAnsi="Calibri" w:eastAsia="仿宋_GB2312" w:cs="仿宋"/>
          <w:color w:val="auto"/>
          <w:kern w:val="0"/>
          <w:sz w:val="32"/>
          <w:szCs w:val="32"/>
          <w:highlight w:val="none"/>
          <w:lang w:val="en-US" w:eastAsia="zh-CN" w:bidi="ar-SA"/>
        </w:rPr>
        <w:instrText xml:space="preserve"> HYPERLINK "http://www.cdgrlyy.org/news20120920230508_23_1.html" \t "http://www.cdgrlyy.org/about/_blank" </w:instrText>
      </w:r>
      <w:r>
        <w:rPr>
          <w:rFonts w:hint="eastAsia" w:ascii="仿宋_GB2312" w:hAnsi="Calibri" w:eastAsia="仿宋_GB2312" w:cs="仿宋"/>
          <w:color w:val="auto"/>
          <w:kern w:val="0"/>
          <w:sz w:val="32"/>
          <w:szCs w:val="32"/>
          <w:highlight w:val="none"/>
          <w:lang w:val="en-US" w:eastAsia="zh-CN" w:bidi="ar-SA"/>
        </w:rPr>
        <w:fldChar w:fldCharType="separate"/>
      </w:r>
      <w:r>
        <w:rPr>
          <w:rFonts w:hint="eastAsia" w:ascii="仿宋_GB2312" w:hAnsi="Calibri" w:eastAsia="仿宋_GB2312" w:cs="仿宋"/>
          <w:color w:val="auto"/>
          <w:kern w:val="0"/>
          <w:sz w:val="32"/>
          <w:szCs w:val="32"/>
          <w:highlight w:val="none"/>
          <w:lang w:val="en-US" w:eastAsia="zh-CN" w:bidi="ar-SA"/>
        </w:rPr>
        <w:t>疗休养</w:t>
      </w:r>
      <w:r>
        <w:rPr>
          <w:rFonts w:hint="eastAsia" w:ascii="仿宋_GB2312" w:hAnsi="Calibri" w:eastAsia="仿宋_GB2312" w:cs="仿宋"/>
          <w:color w:val="auto"/>
          <w:kern w:val="0"/>
          <w:sz w:val="32"/>
          <w:szCs w:val="32"/>
          <w:highlight w:val="none"/>
          <w:lang w:val="en-US" w:eastAsia="zh-CN" w:bidi="ar-SA"/>
        </w:rPr>
        <w:fldChar w:fldCharType="end"/>
      </w:r>
      <w:r>
        <w:rPr>
          <w:rFonts w:hint="eastAsia" w:ascii="仿宋_GB2312" w:hAnsi="Calibri" w:eastAsia="仿宋_GB2312" w:cs="仿宋"/>
          <w:color w:val="auto"/>
          <w:kern w:val="0"/>
          <w:sz w:val="32"/>
          <w:szCs w:val="32"/>
          <w:highlight w:val="none"/>
          <w:lang w:val="en-US" w:eastAsia="zh-CN" w:bidi="ar-SA"/>
        </w:rPr>
        <w:t>和</w:t>
      </w:r>
      <w:r>
        <w:rPr>
          <w:rFonts w:hint="eastAsia" w:ascii="仿宋_GB2312" w:hAnsi="Calibri" w:eastAsia="仿宋_GB2312" w:cs="仿宋"/>
          <w:color w:val="auto"/>
          <w:kern w:val="0"/>
          <w:sz w:val="32"/>
          <w:szCs w:val="32"/>
          <w:highlight w:val="none"/>
          <w:lang w:val="en-US" w:eastAsia="zh-CN" w:bidi="ar-SA"/>
        </w:rPr>
        <w:fldChar w:fldCharType="begin"/>
      </w:r>
      <w:r>
        <w:rPr>
          <w:rFonts w:hint="eastAsia" w:ascii="仿宋_GB2312" w:hAnsi="Calibri" w:eastAsia="仿宋_GB2312" w:cs="仿宋"/>
          <w:color w:val="auto"/>
          <w:kern w:val="0"/>
          <w:sz w:val="32"/>
          <w:szCs w:val="32"/>
          <w:highlight w:val="none"/>
          <w:lang w:val="en-US" w:eastAsia="zh-CN" w:bidi="ar-SA"/>
        </w:rPr>
        <w:instrText xml:space="preserve"> HYPERLINK "http://www.cdgrlyy.org/news20120920230508_24_1.html" \t "http://www.cdgrlyy.org/about/_blank" </w:instrText>
      </w:r>
      <w:r>
        <w:rPr>
          <w:rFonts w:hint="eastAsia" w:ascii="仿宋_GB2312" w:hAnsi="Calibri" w:eastAsia="仿宋_GB2312" w:cs="仿宋"/>
          <w:color w:val="auto"/>
          <w:kern w:val="0"/>
          <w:sz w:val="32"/>
          <w:szCs w:val="32"/>
          <w:highlight w:val="none"/>
          <w:lang w:val="en-US" w:eastAsia="zh-CN" w:bidi="ar-SA"/>
        </w:rPr>
        <w:fldChar w:fldCharType="separate"/>
      </w:r>
      <w:r>
        <w:rPr>
          <w:rFonts w:hint="eastAsia" w:ascii="仿宋_GB2312" w:hAnsi="Calibri" w:eastAsia="仿宋_GB2312" w:cs="仿宋"/>
          <w:color w:val="auto"/>
          <w:kern w:val="0"/>
          <w:sz w:val="32"/>
          <w:szCs w:val="32"/>
          <w:highlight w:val="none"/>
          <w:lang w:val="en-US" w:eastAsia="zh-CN" w:bidi="ar-SA"/>
        </w:rPr>
        <w:t>工会干部培训</w:t>
      </w:r>
      <w:r>
        <w:rPr>
          <w:rFonts w:hint="eastAsia" w:ascii="仿宋_GB2312" w:hAnsi="Calibri" w:eastAsia="仿宋_GB2312" w:cs="仿宋"/>
          <w:color w:val="auto"/>
          <w:kern w:val="0"/>
          <w:sz w:val="32"/>
          <w:szCs w:val="32"/>
          <w:highlight w:val="none"/>
          <w:lang w:val="en-US" w:eastAsia="zh-CN" w:bidi="ar-SA"/>
        </w:rPr>
        <w:fldChar w:fldCharType="end"/>
      </w:r>
      <w:r>
        <w:rPr>
          <w:rFonts w:hint="eastAsia" w:ascii="仿宋_GB2312" w:hAnsi="Calibri" w:eastAsia="仿宋_GB2312" w:cs="仿宋"/>
          <w:color w:val="auto"/>
          <w:kern w:val="0"/>
          <w:sz w:val="32"/>
          <w:szCs w:val="32"/>
          <w:highlight w:val="none"/>
          <w:lang w:val="en-US" w:eastAsia="zh-CN" w:bidi="ar-SA"/>
        </w:rPr>
        <w:t>为一体综合型疗养院。四川省总工会健康体检中心是四川省总工会2012年4月批准设立，是四川省人民医院健康体检中心北区分部，是开展健康体检及健康管理的专业机构，主要从事健康体检、健康教育、健康与亚健康咨询以及保健管理等全方位的医疗健康服务，是四川省工会干部培训基地、劳动模范、职工疗休养基地和职工健康体检基地。</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仿宋"/>
          <w:color w:val="auto"/>
          <w:kern w:val="0"/>
          <w:sz w:val="32"/>
          <w:szCs w:val="32"/>
          <w:highlight w:val="none"/>
          <w:lang w:val="en-US" w:eastAsia="zh-CN" w:bidi="ar-SA"/>
        </w:rPr>
      </w:pPr>
      <w:r>
        <w:rPr>
          <w:rFonts w:hint="eastAsia" w:hAnsi="Calibri" w:cs="仿宋"/>
          <w:color w:val="auto"/>
          <w:kern w:val="0"/>
          <w:sz w:val="32"/>
          <w:szCs w:val="32"/>
          <w:highlight w:val="none"/>
          <w:lang w:val="en-US" w:eastAsia="zh-CN" w:bidi="ar-SA"/>
        </w:rPr>
        <w:t>（三）</w:t>
      </w:r>
      <w:r>
        <w:rPr>
          <w:rFonts w:hint="eastAsia" w:ascii="仿宋_GB2312" w:hAnsi="Calibri" w:eastAsia="仿宋_GB2312" w:cs="仿宋"/>
          <w:color w:val="auto"/>
          <w:kern w:val="0"/>
          <w:sz w:val="32"/>
          <w:szCs w:val="32"/>
          <w:highlight w:val="none"/>
          <w:lang w:val="en-US" w:eastAsia="zh-CN" w:bidi="ar-SA"/>
        </w:rPr>
        <w:t>人员概况</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截止2022年12月31日，我院编制人数148人，在职人员年末数30人；离休人员年末数3人；退休人员年末数111人。</w:t>
      </w:r>
    </w:p>
    <w:p>
      <w:pPr>
        <w:snapToGrid w:val="0"/>
        <w:spacing w:line="520" w:lineRule="exact"/>
        <w:ind w:firstLine="320" w:firstLineChars="1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二、部门财政资金收支情况</w:t>
      </w:r>
    </w:p>
    <w:p>
      <w:pPr>
        <w:snapToGrid w:val="0"/>
        <w:spacing w:line="520" w:lineRule="exact"/>
        <w:ind w:firstLine="320" w:firstLineChars="1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（一）部门财政资金收入情况。</w:t>
      </w:r>
    </w:p>
    <w:p>
      <w:pPr>
        <w:snapToGrid w:val="0"/>
        <w:spacing w:line="52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2022年财政拨款收入132.40万元。</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其中：离休费58.23万元，其他对个人和家庭补助24.78万元，离退休公用经费1.88万元，基本养老保险31.68万元，职业年金15.83万元。</w:t>
      </w:r>
    </w:p>
    <w:p>
      <w:pPr>
        <w:pStyle w:val="2"/>
        <w:ind w:firstLine="320" w:firstLineChars="1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（二）部门财政资金支出情况。</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2022年财政拨款支出132.40万元。</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其中：离休费58.23万元，其他对个人和家庭补助24.78万元，离退休公用经费1.88万元，基本养老保险31.68万元，职业年金15.83万元。</w:t>
      </w:r>
    </w:p>
    <w:p>
      <w:pPr>
        <w:snapToGrid w:val="0"/>
        <w:spacing w:line="520" w:lineRule="exact"/>
        <w:ind w:firstLine="320" w:firstLineChars="1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三、部门整体预算绩效管理情况</w:t>
      </w:r>
    </w:p>
    <w:p>
      <w:pPr>
        <w:pStyle w:val="2"/>
        <w:ind w:firstLine="320" w:firstLineChars="1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（一）部门预算管理。</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1.绩效目标制定</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单位绩效目标编制要素完整，离休费、在职职工基本养老保险、职业年金等财政拨款补助事项的经费收支纳入了部门预算管理；绩效指标细化量化，人员经费测算按照人数、标准测算，测算依据完整。</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2.目标完成</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我院2022年度收入支出预算实际执行132.40万元，较上年执行数127.74万元增加4.66万元，增加3.64%。对比图表如下：</w:t>
      </w:r>
    </w:p>
    <w:tbl>
      <w:tblPr>
        <w:tblStyle w:val="13"/>
        <w:tblpPr w:leftFromText="180" w:rightFromText="180" w:vertAnchor="text" w:horzAnchor="page" w:tblpX="974" w:tblpY="244"/>
        <w:tblOverlap w:val="never"/>
        <w:tblW w:w="10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89"/>
        <w:gridCol w:w="1166"/>
        <w:gridCol w:w="1491"/>
        <w:gridCol w:w="1715"/>
        <w:gridCol w:w="1491"/>
        <w:gridCol w:w="1457"/>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2" w:hRule="atLeast"/>
        </w:trPr>
        <w:tc>
          <w:tcPr>
            <w:tcW w:w="1789" w:type="dxa"/>
            <w:tcBorders>
              <w:top w:val="single" w:color="000000" w:sz="12" w:space="0"/>
              <w:left w:val="single" w:color="000000" w:sz="12" w:space="0"/>
              <w:bottom w:val="single" w:color="000000" w:sz="12" w:space="0"/>
              <w:right w:val="single" w:color="000000" w:sz="12" w:space="0"/>
            </w:tcBorders>
            <w:noWrap w:val="0"/>
            <w:vAlign w:val="center"/>
          </w:tcPr>
          <w:p>
            <w:pPr>
              <w:pStyle w:val="2"/>
              <w:ind w:firstLine="320" w:firstLineChars="1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类  别</w:t>
            </w:r>
          </w:p>
        </w:tc>
        <w:tc>
          <w:tcPr>
            <w:tcW w:w="1166" w:type="dxa"/>
            <w:tcBorders>
              <w:top w:val="single" w:color="000000" w:sz="12" w:space="0"/>
              <w:left w:val="single" w:color="000000" w:sz="12" w:space="0"/>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离休费</w:t>
            </w:r>
          </w:p>
        </w:tc>
        <w:tc>
          <w:tcPr>
            <w:tcW w:w="1491" w:type="dxa"/>
            <w:tcBorders>
              <w:top w:val="single" w:color="000000" w:sz="12" w:space="0"/>
              <w:left w:val="single" w:color="000000" w:sz="12" w:space="0"/>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离退休公用经费</w:t>
            </w:r>
          </w:p>
        </w:tc>
        <w:tc>
          <w:tcPr>
            <w:tcW w:w="1715" w:type="dxa"/>
            <w:tcBorders>
              <w:top w:val="single" w:color="000000" w:sz="12" w:space="0"/>
              <w:left w:val="single" w:color="000000" w:sz="12" w:space="0"/>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其他对个人和家庭补助</w:t>
            </w:r>
          </w:p>
        </w:tc>
        <w:tc>
          <w:tcPr>
            <w:tcW w:w="1491" w:type="dxa"/>
            <w:tcBorders>
              <w:top w:val="single" w:color="000000" w:sz="12" w:space="0"/>
              <w:left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养老保险</w:t>
            </w:r>
          </w:p>
        </w:tc>
        <w:tc>
          <w:tcPr>
            <w:tcW w:w="1457" w:type="dxa"/>
            <w:tcBorders>
              <w:top w:val="single" w:color="000000" w:sz="12" w:space="0"/>
              <w:left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职业年金</w:t>
            </w:r>
          </w:p>
        </w:tc>
        <w:tc>
          <w:tcPr>
            <w:tcW w:w="1307" w:type="dxa"/>
            <w:tcBorders>
              <w:top w:val="single" w:color="000000" w:sz="12" w:space="0"/>
              <w:left w:val="single" w:color="000000" w:sz="12" w:space="0"/>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合 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1" w:hRule="atLeast"/>
        </w:trPr>
        <w:tc>
          <w:tcPr>
            <w:tcW w:w="1789" w:type="dxa"/>
            <w:tcBorders>
              <w:left w:val="single" w:color="000000" w:sz="12" w:space="0"/>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2021年收支预算执行</w:t>
            </w:r>
          </w:p>
        </w:tc>
        <w:tc>
          <w:tcPr>
            <w:tcW w:w="1166" w:type="dxa"/>
            <w:tcBorders>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56.14</w:t>
            </w:r>
          </w:p>
        </w:tc>
        <w:tc>
          <w:tcPr>
            <w:tcW w:w="1491" w:type="dxa"/>
            <w:tcBorders>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1.88</w:t>
            </w:r>
          </w:p>
        </w:tc>
        <w:tc>
          <w:tcPr>
            <w:tcW w:w="1715" w:type="dxa"/>
            <w:tcBorders>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20.58</w:t>
            </w:r>
          </w:p>
        </w:tc>
        <w:tc>
          <w:tcPr>
            <w:tcW w:w="1491" w:type="dxa"/>
            <w:tcBorders>
              <w:top w:val="single" w:color="000000" w:sz="12" w:space="0"/>
              <w:left w:val="single" w:color="000000" w:sz="12" w:space="0"/>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32.76</w:t>
            </w:r>
          </w:p>
        </w:tc>
        <w:tc>
          <w:tcPr>
            <w:tcW w:w="1457" w:type="dxa"/>
            <w:tcBorders>
              <w:top w:val="single" w:color="000000" w:sz="12" w:space="0"/>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16.38</w:t>
            </w:r>
          </w:p>
        </w:tc>
        <w:tc>
          <w:tcPr>
            <w:tcW w:w="1307" w:type="dxa"/>
            <w:tcBorders>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127.74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1789" w:type="dxa"/>
            <w:tcBorders>
              <w:left w:val="single" w:color="000000" w:sz="12" w:space="0"/>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2022年收支预算执行</w:t>
            </w:r>
          </w:p>
        </w:tc>
        <w:tc>
          <w:tcPr>
            <w:tcW w:w="1166" w:type="dxa"/>
            <w:tcBorders>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58.23</w:t>
            </w:r>
          </w:p>
        </w:tc>
        <w:tc>
          <w:tcPr>
            <w:tcW w:w="1491" w:type="dxa"/>
            <w:tcBorders>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1.88</w:t>
            </w:r>
          </w:p>
        </w:tc>
        <w:tc>
          <w:tcPr>
            <w:tcW w:w="1715" w:type="dxa"/>
            <w:tcBorders>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24.78</w:t>
            </w:r>
          </w:p>
        </w:tc>
        <w:tc>
          <w:tcPr>
            <w:tcW w:w="1491" w:type="dxa"/>
            <w:tcBorders>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31.68</w:t>
            </w:r>
          </w:p>
        </w:tc>
        <w:tc>
          <w:tcPr>
            <w:tcW w:w="1457" w:type="dxa"/>
            <w:tcBorders>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15.83</w:t>
            </w:r>
          </w:p>
        </w:tc>
        <w:tc>
          <w:tcPr>
            <w:tcW w:w="1307" w:type="dxa"/>
            <w:tcBorders>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2" w:hRule="atLeast"/>
        </w:trPr>
        <w:tc>
          <w:tcPr>
            <w:tcW w:w="1789" w:type="dxa"/>
            <w:tcBorders>
              <w:left w:val="single" w:color="000000" w:sz="12" w:space="0"/>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增长率（%）</w:t>
            </w:r>
          </w:p>
        </w:tc>
        <w:tc>
          <w:tcPr>
            <w:tcW w:w="1166" w:type="dxa"/>
            <w:tcBorders>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3.72%</w:t>
            </w:r>
          </w:p>
        </w:tc>
        <w:tc>
          <w:tcPr>
            <w:tcW w:w="1491" w:type="dxa"/>
            <w:tcBorders>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p>
        </w:tc>
        <w:tc>
          <w:tcPr>
            <w:tcW w:w="1715" w:type="dxa"/>
            <w:tcBorders>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20.40%</w:t>
            </w:r>
          </w:p>
        </w:tc>
        <w:tc>
          <w:tcPr>
            <w:tcW w:w="1491" w:type="dxa"/>
            <w:tcBorders>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-3.29%</w:t>
            </w:r>
          </w:p>
        </w:tc>
        <w:tc>
          <w:tcPr>
            <w:tcW w:w="1457" w:type="dxa"/>
            <w:tcBorders>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-3.35%</w:t>
            </w:r>
          </w:p>
        </w:tc>
        <w:tc>
          <w:tcPr>
            <w:tcW w:w="1307" w:type="dxa"/>
            <w:tcBorders>
              <w:bottom w:val="single" w:color="000000" w:sz="12" w:space="0"/>
              <w:right w:val="single" w:color="000000" w:sz="12" w:space="0"/>
            </w:tcBorders>
            <w:noWrap w:val="0"/>
            <w:vAlign w:val="center"/>
          </w:tcPr>
          <w:p>
            <w:pPr>
              <w:pStyle w:val="2"/>
              <w:jc w:val="cente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3.64%</w:t>
            </w:r>
          </w:p>
        </w:tc>
      </w:tr>
    </w:tbl>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3.执行进度</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部门预算执行进度在6、9、12月实际支出进度分别达到以下指标：</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工资福利支出6月执行达到63%，9月执行达到95%，12月执行达到100%；</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商品和服务支出6月执行达到40%，9月执行达到80%，12月执行达到100%；</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对个人和家庭的补助支出6月执行达到52%，9月执行达到83%，12月执行达到99.94%。</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4.预算完成情况</w:t>
      </w:r>
    </w:p>
    <w:p>
      <w:pPr>
        <w:pStyle w:val="2"/>
        <w:ind w:firstLine="320" w:firstLineChars="1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（1）收入预算：2022年初预算总收入106.20万元，实际执行数为132.40万元，完成预算总收入的124.67%。</w:t>
      </w:r>
    </w:p>
    <w:p>
      <w:pPr>
        <w:pStyle w:val="2"/>
        <w:ind w:firstLine="320" w:firstLineChars="1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（2）支出预算：2022年初预算总支出106.20万元，实际执行数为132.40万元，完成预算总支出的124.67%。</w:t>
      </w:r>
    </w:p>
    <w:p>
      <w:pPr>
        <w:pStyle w:val="2"/>
        <w:ind w:firstLine="320" w:firstLineChars="1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（二）部门预算项目绩效分析。</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1.人员类项目绩效分析</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我单位有人员类项目3个，具体如下：</w:t>
      </w:r>
    </w:p>
    <w:p>
      <w:pPr>
        <w:pStyle w:val="2"/>
        <w:ind w:firstLine="320" w:firstLineChars="1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（1）单位缴费项目，项目实施内容为：在职人员养老保险、职业年金单位缴费。年初预算数为47.51万元，预算执行数为47.51万元，预算执行率达100%。无违规记录。</w:t>
      </w:r>
    </w:p>
    <w:p>
      <w:pPr>
        <w:pStyle w:val="2"/>
        <w:ind w:firstLine="320" w:firstLineChars="1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离退休费项目，项目实施内容为：离休人员工资发放。年初预算数为53.94万元，调整后预算数为58.23万元，调剂预算为追加离休人员工资。预算执行数为58.23万元，预算执行率达99.99%。预算结余资金为41.60元，为预算下达数与实际发放数差异，该项财政资金结余已由财政统一收回。无违规记录。</w:t>
      </w:r>
    </w:p>
    <w:p>
      <w:pPr>
        <w:pStyle w:val="2"/>
        <w:ind w:firstLine="320" w:firstLineChars="1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3）其他补助支出项目，项目实施内容为：离休人员、630人员困难补助及离休人员一次性生活补助发放。年初预算数为2.87万元，调整后预算数为24.83万元，调剂预算为追加离休人员一次性生活补助。预算执行数为24.78万元，预算执行率达99.81%。预算结余资金为464.00元，为预算下达数与实际发放数差异，该项财政资金结余已由财政统一收回。无违规记录。</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2.运转类项目绩效分析</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我单位有运转类项目1个：</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离退休公用项目，项目实施内容为：离退休人员活动经费。2022年年初预算数为1.88万元，预算执行数为1.88万元，预算执行率达为100%。无违规记录。</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3.特定目标类项目绩效分析</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我单位无特定目标类项目。</w:t>
      </w:r>
    </w:p>
    <w:p>
      <w:pPr>
        <w:pStyle w:val="2"/>
        <w:ind w:firstLine="320" w:firstLineChars="1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（三）部门整体履职绩效分析。</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围绕部门整体绩效目标完成情况和部门履职情况进行绩效分析。</w:t>
      </w:r>
    </w:p>
    <w:p>
      <w:pPr>
        <w:pStyle w:val="2"/>
        <w:ind w:firstLine="320" w:firstLineChars="1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（四）结果应用情况。</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部门绩效目标按要求向社会公开。</w:t>
      </w:r>
    </w:p>
    <w:p>
      <w:pPr>
        <w:snapToGrid w:val="0"/>
        <w:spacing w:line="520" w:lineRule="exact"/>
        <w:ind w:firstLine="320" w:firstLineChars="1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四、评价结论及建议</w:t>
      </w:r>
    </w:p>
    <w:p>
      <w:pPr>
        <w:pStyle w:val="2"/>
        <w:ind w:firstLine="320" w:firstLineChars="1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（一）评价结论</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本单位整体支出绩效编制基本准确，支出控制、执行进度、预算完成情况较好，在执行过程中没有违规记录。</w:t>
      </w:r>
    </w:p>
    <w:p>
      <w:pPr>
        <w:pStyle w:val="2"/>
        <w:ind w:firstLine="320" w:firstLineChars="1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（二）存在问题</w:t>
      </w:r>
    </w:p>
    <w:p>
      <w:pPr>
        <w:pStyle w:val="2"/>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我单位在预算执行中无存在的问题。</w:t>
      </w: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5"/>
      <w:bookmarkEnd w:id="57"/>
      <w:bookmarkStart w:id="58"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8"/>
    </w:p>
    <w:p>
      <w:pPr>
        <w:pStyle w:val="4"/>
        <w:rPr>
          <w:rFonts w:ascii="仿宋" w:hAnsi="仿宋" w:eastAsia="仿宋"/>
          <w:color w:val="auto"/>
          <w:highlight w:val="none"/>
        </w:rPr>
      </w:pPr>
      <w:bookmarkStart w:id="59"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9"/>
    </w:p>
    <w:p>
      <w:pPr>
        <w:pStyle w:val="4"/>
        <w:rPr>
          <w:rFonts w:ascii="仿宋" w:hAnsi="仿宋" w:eastAsia="仿宋"/>
          <w:color w:val="auto"/>
          <w:highlight w:val="none"/>
        </w:rPr>
      </w:pPr>
      <w:bookmarkStart w:id="60"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60"/>
    </w:p>
    <w:p>
      <w:pPr>
        <w:pStyle w:val="4"/>
        <w:rPr>
          <w:rFonts w:ascii="仿宋" w:hAnsi="仿宋" w:eastAsia="仿宋"/>
          <w:b w:val="0"/>
          <w:color w:val="auto"/>
          <w:highlight w:val="none"/>
        </w:rPr>
      </w:pPr>
      <w:bookmarkStart w:id="61"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61"/>
    </w:p>
    <w:p>
      <w:pPr>
        <w:pStyle w:val="4"/>
        <w:rPr>
          <w:rStyle w:val="26"/>
          <w:rFonts w:ascii="仿宋" w:hAnsi="仿宋" w:eastAsia="仿宋"/>
          <w:b w:val="0"/>
          <w:bCs w:val="0"/>
          <w:color w:val="auto"/>
          <w:highlight w:val="none"/>
        </w:rPr>
      </w:pPr>
      <w:bookmarkStart w:id="62"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62"/>
      <w:bookmarkStart w:id="63"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63"/>
    </w:p>
    <w:p>
      <w:pPr>
        <w:pStyle w:val="4"/>
        <w:rPr>
          <w:rFonts w:ascii="仿宋" w:hAnsi="仿宋" w:eastAsia="仿宋"/>
          <w:color w:val="auto"/>
          <w:highlight w:val="none"/>
        </w:rPr>
      </w:pPr>
      <w:bookmarkStart w:id="64"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4"/>
    </w:p>
    <w:p>
      <w:pPr>
        <w:pStyle w:val="4"/>
        <w:rPr>
          <w:rFonts w:ascii="仿宋" w:hAnsi="仿宋" w:eastAsia="仿宋"/>
          <w:color w:val="auto"/>
          <w:highlight w:val="none"/>
        </w:rPr>
      </w:pPr>
      <w:bookmarkStart w:id="65"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5"/>
    </w:p>
    <w:p>
      <w:pPr>
        <w:pStyle w:val="4"/>
        <w:rPr>
          <w:rFonts w:ascii="仿宋" w:hAnsi="仿宋" w:eastAsia="仿宋"/>
          <w:color w:val="auto"/>
          <w:highlight w:val="none"/>
        </w:rPr>
      </w:pPr>
      <w:bookmarkStart w:id="66"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6"/>
    </w:p>
    <w:p>
      <w:pPr>
        <w:pStyle w:val="4"/>
        <w:rPr>
          <w:rFonts w:ascii="仿宋" w:hAnsi="仿宋" w:eastAsia="仿宋"/>
          <w:color w:val="auto"/>
          <w:highlight w:val="none"/>
        </w:rPr>
      </w:pPr>
      <w:bookmarkStart w:id="67" w:name="_Toc15396628"/>
      <w:r>
        <w:rPr>
          <w:rStyle w:val="26"/>
          <w:rFonts w:hint="eastAsia" w:ascii="仿宋" w:hAnsi="仿宋" w:eastAsia="仿宋"/>
          <w:b w:val="0"/>
          <w:bCs w:val="0"/>
          <w:color w:val="auto"/>
          <w:highlight w:val="none"/>
        </w:rPr>
        <w:t>十、</w:t>
      </w:r>
      <w:bookmarkEnd w:id="67"/>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8" w:name="_Toc15396629"/>
      <w:r>
        <w:rPr>
          <w:rStyle w:val="26"/>
          <w:rFonts w:hint="eastAsia" w:ascii="仿宋" w:hAnsi="仿宋" w:eastAsia="仿宋"/>
          <w:b w:val="0"/>
          <w:bCs w:val="0"/>
          <w:color w:val="auto"/>
          <w:highlight w:val="none"/>
        </w:rPr>
        <w:t>十一、</w:t>
      </w:r>
      <w:bookmarkEnd w:id="68"/>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9" w:name="_Toc15396630"/>
      <w:r>
        <w:rPr>
          <w:rStyle w:val="26"/>
          <w:rFonts w:hint="eastAsia" w:ascii="仿宋" w:hAnsi="仿宋" w:eastAsia="仿宋"/>
          <w:b w:val="0"/>
          <w:bCs w:val="0"/>
          <w:color w:val="auto"/>
          <w:highlight w:val="none"/>
        </w:rPr>
        <w:t>十二、</w:t>
      </w:r>
      <w:bookmarkEnd w:id="69"/>
      <w:r>
        <w:rPr>
          <w:rStyle w:val="26"/>
          <w:rFonts w:hint="eastAsia" w:ascii="仿宋" w:hAnsi="仿宋" w:eastAsia="仿宋"/>
          <w:b w:val="0"/>
          <w:bCs w:val="0"/>
          <w:color w:val="auto"/>
          <w:highlight w:val="none"/>
          <w:lang w:eastAsia="zh-CN"/>
        </w:rPr>
        <w:t>国有资本经营预算财政拨款支出决算表</w:t>
      </w:r>
    </w:p>
    <w:p>
      <w:pPr>
        <w:pStyle w:val="4"/>
        <w:rPr>
          <w:rStyle w:val="26"/>
          <w:rFonts w:hint="eastAsia" w:ascii="仿宋" w:hAnsi="仿宋" w:eastAsia="仿宋"/>
          <w:b w:val="0"/>
          <w:bCs w:val="0"/>
          <w:color w:val="auto"/>
          <w:highlight w:val="none"/>
          <w:lang w:eastAsia="zh-CN"/>
        </w:rPr>
      </w:pPr>
      <w:bookmarkStart w:id="70" w:name="_Toc15396631"/>
      <w:r>
        <w:rPr>
          <w:rStyle w:val="26"/>
          <w:rFonts w:hint="eastAsia" w:ascii="仿宋" w:hAnsi="仿宋" w:eastAsia="仿宋"/>
          <w:b w:val="0"/>
          <w:bCs w:val="0"/>
          <w:color w:val="auto"/>
          <w:highlight w:val="none"/>
        </w:rPr>
        <w:t>十三、</w:t>
      </w:r>
      <w:bookmarkEnd w:id="70"/>
      <w:r>
        <w:rPr>
          <w:rStyle w:val="26"/>
          <w:rFonts w:hint="eastAsia" w:ascii="仿宋" w:hAnsi="仿宋" w:eastAsia="仿宋"/>
          <w:b w:val="0"/>
          <w:bCs w:val="0"/>
          <w:color w:val="auto"/>
          <w:highlight w:val="none"/>
          <w:lang w:eastAsia="zh-CN"/>
        </w:rPr>
        <w:t>财政拨款“三公”经费支出决算表</w:t>
      </w:r>
    </w:p>
    <w:p>
      <w:pPr>
        <w:pStyle w:val="4"/>
        <w:rPr>
          <w:rStyle w:val="26"/>
          <w:rFonts w:hint="eastAsia" w:ascii="仿宋" w:hAnsi="仿宋" w:eastAsia="仿宋"/>
          <w:b w:val="0"/>
          <w:bCs w:val="0"/>
          <w:color w:val="auto"/>
          <w:highlight w:val="none"/>
          <w:lang w:eastAsia="zh-CN"/>
        </w:rPr>
      </w:pPr>
      <w:r>
        <w:rPr>
          <w:rStyle w:val="26"/>
          <w:rFonts w:hint="eastAsia" w:ascii="仿宋" w:hAnsi="仿宋" w:eastAsia="仿宋"/>
          <w:b w:val="0"/>
          <w:bCs w:val="0"/>
          <w:color w:val="auto"/>
          <w:highlight w:val="none"/>
          <w:lang w:eastAsia="zh-CN"/>
        </w:rPr>
        <w:t>十四、部门预算项目支出绩效自评表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2180B"/>
    <w:multiLevelType w:val="singleLevel"/>
    <w:tmpl w:val="B5D2180B"/>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MzQ4NjMxYjkyZDY1MGFjMWZiNDUzMjAxZDI4N2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AC5842"/>
    <w:rsid w:val="03323B24"/>
    <w:rsid w:val="04686157"/>
    <w:rsid w:val="08FC1DEC"/>
    <w:rsid w:val="0921144B"/>
    <w:rsid w:val="0A2032A3"/>
    <w:rsid w:val="0B8A37D8"/>
    <w:rsid w:val="0DBD4932"/>
    <w:rsid w:val="10294293"/>
    <w:rsid w:val="10C055FF"/>
    <w:rsid w:val="118107EC"/>
    <w:rsid w:val="11DD6519"/>
    <w:rsid w:val="148461AA"/>
    <w:rsid w:val="16BB723D"/>
    <w:rsid w:val="172D48D7"/>
    <w:rsid w:val="17910F21"/>
    <w:rsid w:val="18015F3F"/>
    <w:rsid w:val="1BE8440E"/>
    <w:rsid w:val="1D155CEE"/>
    <w:rsid w:val="1F460C2C"/>
    <w:rsid w:val="20F57F95"/>
    <w:rsid w:val="2322375E"/>
    <w:rsid w:val="240371BF"/>
    <w:rsid w:val="2432352D"/>
    <w:rsid w:val="25711CC6"/>
    <w:rsid w:val="25C741E6"/>
    <w:rsid w:val="271909D4"/>
    <w:rsid w:val="27842671"/>
    <w:rsid w:val="28481500"/>
    <w:rsid w:val="28E84B02"/>
    <w:rsid w:val="29FD04D3"/>
    <w:rsid w:val="2ABE7A3E"/>
    <w:rsid w:val="2CA234A8"/>
    <w:rsid w:val="2EFA178C"/>
    <w:rsid w:val="30B46D73"/>
    <w:rsid w:val="319F7F4E"/>
    <w:rsid w:val="32A10577"/>
    <w:rsid w:val="383D272C"/>
    <w:rsid w:val="39AE70AB"/>
    <w:rsid w:val="3BAE5737"/>
    <w:rsid w:val="3C0C0783"/>
    <w:rsid w:val="3F8769CB"/>
    <w:rsid w:val="3F9F3A96"/>
    <w:rsid w:val="45A55DFD"/>
    <w:rsid w:val="48BF60AB"/>
    <w:rsid w:val="48CA7C85"/>
    <w:rsid w:val="493C27E9"/>
    <w:rsid w:val="494476DB"/>
    <w:rsid w:val="496F39ED"/>
    <w:rsid w:val="49FF41D3"/>
    <w:rsid w:val="4BE068DB"/>
    <w:rsid w:val="4BF6002B"/>
    <w:rsid w:val="4E5E4D9B"/>
    <w:rsid w:val="4ECE2238"/>
    <w:rsid w:val="51DB4B86"/>
    <w:rsid w:val="536D782E"/>
    <w:rsid w:val="55333C3E"/>
    <w:rsid w:val="591C7D2C"/>
    <w:rsid w:val="5B3B68B4"/>
    <w:rsid w:val="5BDE751B"/>
    <w:rsid w:val="5C5D48E3"/>
    <w:rsid w:val="5DDC20F7"/>
    <w:rsid w:val="64CA39A1"/>
    <w:rsid w:val="66100C18"/>
    <w:rsid w:val="694330B3"/>
    <w:rsid w:val="69630ADE"/>
    <w:rsid w:val="6B364C7D"/>
    <w:rsid w:val="6B460C38"/>
    <w:rsid w:val="6C4A05C8"/>
    <w:rsid w:val="6D142D9C"/>
    <w:rsid w:val="6D3B1A89"/>
    <w:rsid w:val="6D77157D"/>
    <w:rsid w:val="71BF4EC2"/>
    <w:rsid w:val="72734D90"/>
    <w:rsid w:val="73ED5DA0"/>
    <w:rsid w:val="7412278C"/>
    <w:rsid w:val="758E3908"/>
    <w:rsid w:val="776B5CAF"/>
    <w:rsid w:val="79E7B28D"/>
    <w:rsid w:val="7A2B3E1B"/>
    <w:rsid w:val="7B8C08E9"/>
    <w:rsid w:val="7DC12ACC"/>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Body Text 2"/>
    <w:basedOn w:val="1"/>
    <w:qFormat/>
    <w:uiPriority w:val="0"/>
    <w:pPr>
      <w:jc w:val="center"/>
    </w:pPr>
    <w:rPr>
      <w:sz w:val="4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915;&#31639;&#20844;&#24320;\2023&#24180;&#20915;&#31639;&#20844;&#24320;\&#22522;&#30784;&#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28773\Desktop\&#26032;&#24314;%20XLS%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915;&#31639;&#20844;&#24320;\2023&#24180;&#20915;&#31639;&#20844;&#24320;\&#22522;&#30784;&#34920;.xls" TargetMode="External"/></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Administrator\Desktop\&#20915;&#31639;&#20844;&#24320;\2023&#24180;&#20915;&#31639;&#20844;&#24320;\&#22522;&#30784;&#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915;&#31639;&#20844;&#24320;\2023&#24180;&#20915;&#31639;&#20844;&#24320;\&#22522;&#30784;&#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宋体" panose="02010600030101010101" charset="-122"/>
                <a:ea typeface="宋体" panose="02010600030101010101" charset="-122"/>
                <a:cs typeface="宋体" panose="02010600030101010101" charset="-122"/>
              </a:rPr>
              <a:t>       </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收、支决算总计变动情况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17515808609944"/>
          <c:y val="0.0417707424705624"/>
        </c:manualLayout>
      </c:layout>
      <c:overlay val="0"/>
      <c:spPr>
        <a:noFill/>
        <a:ln>
          <a:noFill/>
        </a:ln>
        <a:effectLst/>
      </c:spPr>
    </c:title>
    <c:autoTitleDeleted val="0"/>
    <c:plotArea>
      <c:layout>
        <c:manualLayout>
          <c:layoutTarget val="inner"/>
          <c:xMode val="edge"/>
          <c:yMode val="edge"/>
          <c:x val="0.0548533757672198"/>
          <c:y val="0.126064735945486"/>
          <c:w val="0.889906796999318"/>
          <c:h val="0.772649837385783"/>
        </c:manualLayout>
      </c:layout>
      <c:barChart>
        <c:barDir val="col"/>
        <c:grouping val="clustered"/>
        <c:varyColors val="0"/>
        <c:ser>
          <c:idx val="0"/>
          <c:order val="0"/>
          <c:tx>
            <c:strRef>
              <c:f>[基础表.xls]Sheet5!$B$1</c:f>
              <c:strCache>
                <c:ptCount val="1"/>
                <c:pt idx="0">
                  <c:v>财政拨款收、决算总计变动情况</c:v>
                </c:pt>
              </c:strCache>
            </c:strRef>
          </c:tx>
          <c:spPr>
            <a:solidFill>
              <a:schemeClr val="accent1"/>
            </a:solidFill>
            <a:ln>
              <a:noFill/>
            </a:ln>
            <a:effectLst/>
          </c:spPr>
          <c:invertIfNegative val="0"/>
          <c:dPt>
            <c:idx val="1"/>
            <c:invertIfNegative val="0"/>
            <c:bubble3D val="0"/>
            <c:explosion val="0"/>
            <c:spPr>
              <a:solidFill>
                <a:srgbClr val="C00000"/>
              </a:solidFill>
              <a:ln>
                <a:noFill/>
              </a:ln>
              <a:effectLst/>
            </c:spPr>
          </c:dPt>
          <c:dPt>
            <c:idx val="2"/>
            <c:invertIfNegative val="0"/>
            <c:bubble3D val="0"/>
            <c:explosion val="0"/>
            <c:spPr>
              <a:solidFill>
                <a:schemeClr val="accent2"/>
              </a:solidFill>
              <a:ln>
                <a:noFill/>
              </a:ln>
              <a:effectLst/>
            </c:spPr>
          </c:dPt>
          <c:dPt>
            <c:idx val="3"/>
            <c:invertIfNegative val="0"/>
            <c:bubble3D val="0"/>
            <c:explosion val="0"/>
            <c:spPr>
              <a:solidFill>
                <a:srgbClr val="7030A0"/>
              </a:soli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[基础表.xls]Sheet5!$A$2:$A$5</c:f>
              <c:strCache>
                <c:ptCount val="4"/>
                <c:pt idx="0">
                  <c:v>2022</c:v>
                </c:pt>
                <c:pt idx="1">
                  <c:v>2021</c:v>
                </c:pt>
                <c:pt idx="2">
                  <c:v>增加/减少</c:v>
                </c:pt>
                <c:pt idx="3">
                  <c:v>增长/下降（%）</c:v>
                </c:pt>
              </c:strCache>
            </c:strRef>
          </c:cat>
          <c:val>
            <c:numRef>
              <c:f>[基础表.xls]Sheet5!$B$2:$B$5</c:f>
              <c:numCache>
                <c:formatCode>@</c:formatCode>
                <c:ptCount val="4"/>
                <c:pt idx="0">
                  <c:v>132.4</c:v>
                </c:pt>
                <c:pt idx="1" c:formatCode="General">
                  <c:v>127.74</c:v>
                </c:pt>
                <c:pt idx="2" c:formatCode="General">
                  <c:v>4.66</c:v>
                </c:pt>
                <c:pt idx="3" c:formatCode="0.00%">
                  <c:v>0.0364</c:v>
                </c:pt>
              </c:numCache>
            </c:numRef>
          </c:val>
        </c:ser>
        <c:dLbls>
          <c:showLegendKey val="0"/>
          <c:showVal val="0"/>
          <c:showCatName val="0"/>
          <c:showSerName val="0"/>
          <c:showPercent val="0"/>
          <c:showBubbleSize val="0"/>
        </c:dLbls>
        <c:gapWidth val="75"/>
        <c:overlap val="0"/>
        <c:axId val="924484881"/>
        <c:axId val="898628113"/>
      </c:barChart>
      <c:catAx>
        <c:axId val="924484881"/>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898628113"/>
        <c:crosses val="autoZero"/>
        <c:auto val="1"/>
        <c:lblAlgn val="ctr"/>
        <c:lblOffset val="100"/>
        <c:noMultiLvlLbl val="0"/>
      </c:catAx>
      <c:valAx>
        <c:axId val="89862811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4848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收入决算结构</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view3D>
      <c:rotX val="30"/>
      <c:rotY val="0"/>
      <c:depthPercent val="100"/>
      <c:rAngAx val="0"/>
      <c:perspective val="0"/>
    </c:view3D>
    <c:floor>
      <c:thickness val="0"/>
    </c:floor>
    <c:sideWall>
      <c:thickness val="0"/>
    </c:sideWall>
    <c:backWall>
      <c:thickness val="0"/>
    </c:backWall>
    <c:plotArea>
      <c:layout/>
      <c:pie3DChart>
        <c:varyColors val="1"/>
        <c:ser>
          <c:idx val="0"/>
          <c:order val="0"/>
          <c:tx>
            <c:strRef>
              <c:f>'[基础表(1).xls]Sheet1'!$B$1</c:f>
              <c:strCache>
                <c:ptCount val="1"/>
                <c:pt idx="0">
                  <c:v>省总成都工人疗养院2020年度收入决算结构</c:v>
                </c:pt>
              </c:strCache>
            </c:strRef>
          </c:tx>
          <c:explosion val="0"/>
          <c:dPt>
            <c:idx val="0"/>
            <c:bubble3D val="0"/>
            <c:explosion val="0"/>
            <c:spPr>
              <a:solidFill>
                <a:schemeClr val="accent1"/>
              </a:solidFill>
              <a:ln w="25400">
                <a:solidFill>
                  <a:schemeClr val="lt1"/>
                </a:solidFill>
              </a:ln>
              <a:effectLst/>
            </c:spPr>
          </c:dPt>
          <c:dPt>
            <c:idx val="1"/>
            <c:bubble3D val="0"/>
            <c:explosion val="0"/>
            <c:spPr>
              <a:solidFill>
                <a:schemeClr val="accent2"/>
              </a:solidFill>
              <a:ln w="25400">
                <a:solidFill>
                  <a:schemeClr val="lt1"/>
                </a:solidFill>
              </a:ln>
              <a:effectLst/>
            </c:spPr>
          </c:dPt>
          <c:dPt>
            <c:idx val="2"/>
            <c:bubble3D val="0"/>
            <c:explosion val="0"/>
            <c:spPr>
              <a:solidFill>
                <a:schemeClr val="accent3"/>
              </a:solidFill>
              <a:ln w="25400">
                <a:solidFill>
                  <a:schemeClr val="lt1"/>
                </a:solidFill>
              </a:ln>
              <a:effectLst/>
            </c:spPr>
          </c:dPt>
          <c:dPt>
            <c:idx val="3"/>
            <c:bubble3D val="0"/>
            <c:explosion val="0"/>
          </c:dPt>
          <c:dPt>
            <c:idx val="4"/>
            <c:bubble3D val="0"/>
            <c:explosion val="0"/>
          </c:dPt>
          <c:dPt>
            <c:idx val="5"/>
            <c:bubble3D val="0"/>
            <c:explosion val="0"/>
          </c:dPt>
          <c:dPt>
            <c:idx val="6"/>
            <c:bubble3D val="0"/>
            <c:explosion val="0"/>
          </c:dPt>
          <c:dPt>
            <c:idx val="7"/>
            <c:bubble3D val="0"/>
            <c:explosion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900" b="0" i="0" u="none" strike="noStrike" baseline="0">
                        <a:solidFill>
                          <a:srgbClr val="333333"/>
                        </a:solidFill>
                        <a:latin typeface="宋体" panose="02010600030101010101" charset="-122"/>
                        <a:ea typeface="宋体" panose="02010600030101010101" charset="-122"/>
                        <a:cs typeface="宋体" panose="02010600030101010101" charset="-122"/>
                      </a:rPr>
                      <a:t>132.40</a:t>
                    </a:r>
                    <a:r>
                      <a:rPr sz="900" b="0" i="0" u="none" strike="noStrike" baseline="0">
                        <a:solidFill>
                          <a:srgbClr val="333333"/>
                        </a:solidFill>
                        <a:latin typeface="宋体" panose="02010600030101010101" charset="-122"/>
                        <a:ea typeface="宋体" panose="02010600030101010101" charset="-122"/>
                        <a:cs typeface="宋体" panose="02010600030101010101" charset="-122"/>
                      </a:rPr>
                      <a:t>万元</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inEnd"/>
              <c:showLegendKey val="0"/>
              <c:showVal val="0"/>
              <c:showCatName val="1"/>
              <c:showSerName val="0"/>
              <c:showPercent val="0"/>
              <c:showBubbleSize val="0"/>
              <c:extLst>
                <c:ext xmlns:c15="http://schemas.microsoft.com/office/drawing/2012/chart" uri="{CE6537A1-D6FC-4f65-9D91-7224C49458BB}"/>
              </c:extLst>
            </c:dLbl>
            <c:dLbl>
              <c:idx val="2"/>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{"一般公共预算财政拨款收入","政府性基金预算财政拨款收入","国有资本经营预算财政拨款收入","上级补助收入","事业收入","经营收入","附属单位上缴收","其他收入"}</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c:v>
                </c:pt>
                <c:pt idx="7">
                  <c:v>其他收入</c:v>
                </c:pt>
              </c:strCache>
            </c:strRef>
          </c:cat>
          <c:val>
            <c:numRef>
              <c:f>{127.74,0,0,0,0,#N/A,0,0}</c:f>
              <c:numCache>
                <c:formatCode>General</c:formatCode>
                <c:ptCount val="8"/>
                <c:pt idx="0">
                  <c:v>127.74</c:v>
                </c:pt>
                <c:pt idx="1">
                  <c:v>0</c:v>
                </c:pt>
                <c:pt idx="2">
                  <c:v>0</c:v>
                </c:pt>
                <c:pt idx="3">
                  <c:v>0</c:v>
                </c:pt>
                <c:pt idx="4">
                  <c:v>0</c:v>
                </c:pt>
                <c:pt idx="6">
                  <c:v>0</c:v>
                </c:pt>
                <c:pt idx="7">
                  <c:v>0</c:v>
                </c:pt>
              </c:numCache>
            </c:numRef>
          </c:val>
        </c:ser>
        <c:dLbls>
          <c:showLegendKey val="0"/>
          <c:showVal val="0"/>
          <c:showCatName val="0"/>
          <c:showSerName val="0"/>
          <c:showPercent val="0"/>
          <c:showBubbleSize val="0"/>
        </c:dLbls>
      </c:pie3DChart>
      <c:spPr>
        <a:noFill/>
        <a:ln>
          <a:noFill/>
        </a:ln>
        <a:effectLst/>
      </c:spPr>
    </c:plotArea>
    <c:legend>
      <c:legendPos val="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工作表.xls]Sheet1'!$A$2:$A$5</c:f>
              <c:strCache>
                <c:ptCount val="4"/>
                <c:pt idx="0">
                  <c:v>基本支出</c:v>
                </c:pt>
                <c:pt idx="1">
                  <c:v>项目支出</c:v>
                </c:pt>
                <c:pt idx="2">
                  <c:v>上缴上级支出</c:v>
                </c:pt>
                <c:pt idx="3">
                  <c:v>经营支出</c:v>
                </c:pt>
              </c:strCache>
            </c:strRef>
          </c:cat>
          <c:val>
            <c:numRef>
              <c:f>'[新建 XLS 工作表.xls]Sheet1'!$B$2:$B$5</c:f>
              <c:numCache>
                <c:formatCode>0%</c:formatCode>
                <c:ptCount val="4"/>
                <c:pt idx="0">
                  <c:v>1</c:v>
                </c:pt>
                <c:pt idx="1">
                  <c:v>0</c:v>
                </c:pt>
                <c:pt idx="2">
                  <c:v>0</c:v>
                </c:pt>
                <c:pt idx="3">
                  <c:v>0</c:v>
                </c:pt>
              </c:numCache>
            </c:numRef>
          </c:val>
        </c:ser>
        <c:dLbls>
          <c:showLegendKey val="0"/>
          <c:showVal val="0"/>
          <c:showCatName val="0"/>
          <c:showSerName val="0"/>
          <c:showPercent val="1"/>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宋体" panose="02010600030101010101" charset="-122"/>
                <a:ea typeface="宋体" panose="02010600030101010101" charset="-122"/>
                <a:cs typeface="宋体" panose="02010600030101010101" charset="-122"/>
              </a:rPr>
              <a:t>    </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财政拨款收、支决算总计变动情况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17515808609944"/>
          <c:y val="0.0417707424705624"/>
        </c:manualLayout>
      </c:layout>
      <c:overlay val="0"/>
      <c:spPr>
        <a:noFill/>
        <a:ln>
          <a:noFill/>
        </a:ln>
        <a:effectLst/>
      </c:spPr>
    </c:title>
    <c:autoTitleDeleted val="0"/>
    <c:plotArea>
      <c:layout>
        <c:manualLayout>
          <c:layoutTarget val="inner"/>
          <c:xMode val="edge"/>
          <c:yMode val="edge"/>
          <c:x val="0.0617802248222069"/>
          <c:y val="0.108531548212505"/>
          <c:w val="0.883734801559991"/>
          <c:h val="0.785927930494232"/>
        </c:manualLayout>
      </c:layout>
      <c:barChart>
        <c:barDir val="col"/>
        <c:grouping val="clustered"/>
        <c:varyColors val="0"/>
        <c:ser>
          <c:idx val="0"/>
          <c:order val="0"/>
          <c:tx>
            <c:strRef>
              <c:f>[基础表.xls]Sheet5!$B$1</c:f>
              <c:strCache>
                <c:ptCount val="1"/>
                <c:pt idx="0">
                  <c:v>财政拨款收、决算总计变动情况</c:v>
                </c:pt>
              </c:strCache>
            </c:strRef>
          </c:tx>
          <c:spPr>
            <a:solidFill>
              <a:schemeClr val="accent1"/>
            </a:solidFill>
            <a:ln>
              <a:noFill/>
            </a:ln>
            <a:effectLst/>
          </c:spPr>
          <c:invertIfNegative val="0"/>
          <c:dPt>
            <c:idx val="1"/>
            <c:invertIfNegative val="0"/>
            <c:bubble3D val="0"/>
            <c:explosion val="0"/>
            <c:spPr>
              <a:solidFill>
                <a:srgbClr val="C00000"/>
              </a:solidFill>
              <a:ln>
                <a:noFill/>
              </a:ln>
              <a:effectLst/>
            </c:spPr>
          </c:dPt>
          <c:dPt>
            <c:idx val="2"/>
            <c:invertIfNegative val="0"/>
            <c:bubble3D val="0"/>
            <c:explosion val="0"/>
            <c:spPr>
              <a:solidFill>
                <a:schemeClr val="accent2"/>
              </a:solidFill>
              <a:ln>
                <a:noFill/>
              </a:ln>
              <a:effectLst/>
            </c:spPr>
          </c:dPt>
          <c:dPt>
            <c:idx val="3"/>
            <c:invertIfNegative val="0"/>
            <c:bubble3D val="0"/>
            <c:explosion val="0"/>
            <c:spPr>
              <a:solidFill>
                <a:srgbClr val="7030A0"/>
              </a:soli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[基础表.xls]Sheet5!$A$2:$A$5</c:f>
              <c:strCache>
                <c:ptCount val="4"/>
                <c:pt idx="0">
                  <c:v>本年收支决算总计（万元）</c:v>
                </c:pt>
                <c:pt idx="1">
                  <c:v>上年收支决算总计（万元）</c:v>
                </c:pt>
                <c:pt idx="2">
                  <c:v>较上年增加万元</c:v>
                </c:pt>
                <c:pt idx="3">
                  <c:v>较上年变动%</c:v>
                </c:pt>
              </c:strCache>
            </c:strRef>
          </c:cat>
          <c:val>
            <c:numRef>
              <c:f>[基础表.xls]Sheet5!$B$2:$B$5</c:f>
              <c:numCache>
                <c:formatCode>@</c:formatCode>
                <c:ptCount val="4"/>
                <c:pt idx="0">
                  <c:v>132.4</c:v>
                </c:pt>
                <c:pt idx="1" c:formatCode="General">
                  <c:v>127.74</c:v>
                </c:pt>
                <c:pt idx="2" c:formatCode="General">
                  <c:v>4.66</c:v>
                </c:pt>
                <c:pt idx="3" c:formatCode="0.00%">
                  <c:v>0.0364</c:v>
                </c:pt>
              </c:numCache>
            </c:numRef>
          </c:val>
        </c:ser>
        <c:dLbls>
          <c:showLegendKey val="0"/>
          <c:showVal val="0"/>
          <c:showCatName val="0"/>
          <c:showSerName val="0"/>
          <c:showPercent val="0"/>
          <c:showBubbleSize val="0"/>
        </c:dLbls>
        <c:gapWidth val="75"/>
        <c:overlap val="0"/>
        <c:axId val="924484881"/>
        <c:axId val="898628113"/>
      </c:barChart>
      <c:catAx>
        <c:axId val="924484881"/>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898628113"/>
        <c:crosses val="autoZero"/>
        <c:auto val="1"/>
        <c:lblAlgn val="ctr"/>
        <c:lblOffset val="100"/>
        <c:noMultiLvlLbl val="0"/>
      </c:catAx>
      <c:valAx>
        <c:axId val="89862811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4848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rPr lang="en-US" altLang="zh-CN" sz="1400" b="0" i="0" u="none" strike="noStrike" baseline="0">
                <a:solidFill>
                  <a:srgbClr val="333333"/>
                </a:solidFill>
                <a:latin typeface="宋体" panose="02010600030101010101" charset="-122"/>
                <a:ea typeface="宋体" panose="02010600030101010101" charset="-122"/>
                <a:cs typeface="宋体" panose="02010600030101010101" charset="-122"/>
              </a:rPr>
              <a:t> </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一般公共预算财政拨款支出决算变动情况</a:t>
            </a:r>
            <a:endParaRPr altLang="en-US" sz="1400" b="0" i="0" u="none" strike="noStrike" baseline="0">
              <a:solidFill>
                <a:srgbClr val="333333"/>
              </a:solidFill>
              <a:latin typeface="宋体" panose="02010600030101010101" charset="-122"/>
              <a:ea typeface="宋体" panose="02010600030101010101" charset="-122"/>
              <a:cs typeface="宋体" panose="02010600030101010101" charset="-122"/>
            </a:endParaRPr>
          </a:p>
        </c:rich>
      </c:tx>
      <c:layout>
        <c:manualLayout>
          <c:xMode val="edge"/>
          <c:yMode val="edge"/>
          <c:x val="0.217515808609944"/>
          <c:y val="0.0417707424705624"/>
        </c:manualLayout>
      </c:layout>
      <c:overlay val="0"/>
      <c:spPr>
        <a:noFill/>
        <a:ln>
          <a:noFill/>
        </a:ln>
        <a:effectLst/>
      </c:spPr>
    </c:title>
    <c:autoTitleDeleted val="0"/>
    <c:plotArea>
      <c:layout/>
      <c:barChart>
        <c:barDir val="col"/>
        <c:grouping val="clustered"/>
        <c:varyColors val="0"/>
        <c:ser>
          <c:idx val="0"/>
          <c:order val="0"/>
          <c:tx>
            <c:strRef>
              <c:f>[基础表.xls]Sheet5!$B$1</c:f>
              <c:strCache>
                <c:ptCount val="1"/>
                <c:pt idx="0">
                  <c:v>财政拨款收、决算总计变动情况</c:v>
                </c:pt>
              </c:strCache>
            </c:strRef>
          </c:tx>
          <c:spPr>
            <a:solidFill>
              <a:srgbClr val="5B9BD5"/>
            </a:solidFill>
            <a:ln>
              <a:noFill/>
            </a:ln>
            <a:effectLst/>
          </c:spPr>
          <c:invertIfNegative val="0"/>
          <c:dPt>
            <c:idx val="1"/>
            <c:invertIfNegative val="0"/>
            <c:bubble3D val="0"/>
            <c:explosion val="0"/>
            <c:spPr>
              <a:solidFill>
                <a:srgbClr val="C00000"/>
              </a:solidFill>
              <a:ln>
                <a:noFill/>
              </a:ln>
              <a:effectLst/>
            </c:spPr>
          </c:dPt>
          <c:dPt>
            <c:idx val="2"/>
            <c:invertIfNegative val="0"/>
            <c:bubble3D val="0"/>
            <c:explosion val="0"/>
            <c:spPr>
              <a:solidFill>
                <a:srgbClr val="ED7D31"/>
              </a:solidFill>
              <a:ln>
                <a:noFill/>
              </a:ln>
              <a:effectLst/>
            </c:spPr>
          </c:dPt>
          <c:dPt>
            <c:idx val="3"/>
            <c:invertIfNegative val="0"/>
            <c:bubble3D val="0"/>
            <c:explosion val="0"/>
            <c:spPr>
              <a:solidFill>
                <a:srgbClr val="7030A0"/>
              </a:soli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[基础表.xls]Sheet5!$A$2:$A$5</c:f>
              <c:strCache>
                <c:ptCount val="4"/>
                <c:pt idx="0">
                  <c:v>本年支出决算总计</c:v>
                </c:pt>
                <c:pt idx="1">
                  <c:v>上年支出决算总计</c:v>
                </c:pt>
                <c:pt idx="2">
                  <c:v>较上年增加（万元）</c:v>
                </c:pt>
                <c:pt idx="3">
                  <c:v>较上年变动（%）</c:v>
                </c:pt>
              </c:strCache>
            </c:strRef>
          </c:cat>
          <c:val>
            <c:numRef>
              <c:f>[基础表.xls]Sheet5!$B$2:$B$5</c:f>
              <c:numCache>
                <c:formatCode>@</c:formatCode>
                <c:ptCount val="4"/>
                <c:pt idx="0">
                  <c:v>132.4</c:v>
                </c:pt>
                <c:pt idx="1" c:formatCode="General">
                  <c:v>127.74</c:v>
                </c:pt>
                <c:pt idx="2" c:formatCode="General">
                  <c:v>4.66</c:v>
                </c:pt>
                <c:pt idx="3" c:formatCode="0.00%">
                  <c:v>0.0364</c:v>
                </c:pt>
              </c:numCache>
            </c:numRef>
          </c:val>
        </c:ser>
        <c:dLbls>
          <c:showLegendKey val="0"/>
          <c:showVal val="0"/>
          <c:showCatName val="0"/>
          <c:showSerName val="0"/>
          <c:showPercent val="0"/>
          <c:showBubbleSize val="0"/>
        </c:dLbls>
        <c:gapWidth val="75"/>
        <c:overlap val="0"/>
        <c:axId val="924484881"/>
        <c:axId val="898628113"/>
      </c:barChart>
      <c:catAx>
        <c:axId val="924484881"/>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898628113"/>
        <c:crosses val="autoZero"/>
        <c:auto val="1"/>
        <c:lblAlgn val="ctr"/>
        <c:lblOffset val="100"/>
        <c:noMultiLvlLbl val="0"/>
      </c:catAx>
      <c:valAx>
        <c:axId val="898628113"/>
        <c:scaling>
          <c:orientation val="minMax"/>
        </c:scaling>
        <c:delete val="0"/>
        <c:axPos val="l"/>
        <c:majorGridlines>
          <c:spPr>
            <a:ln w="9525" cap="flat" cmpd="sng" algn="ctr">
              <a:solidFill>
                <a:sysClr val="windowText" lastClr="000000">
                  <a:lumMod val="15000"/>
                  <a:lumOff val="85000"/>
                </a:sysClr>
              </a:solidFill>
              <a:prstDash val="solid"/>
              <a:round/>
            </a:ln>
            <a:effectLst/>
          </c:spPr>
        </c:majorGridlines>
        <c:numFmt formatCode="@"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244848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宋体" panose="02010600030101010101" charset="-122"/>
                <a:ea typeface="宋体" panose="02010600030101010101" charset="-122"/>
                <a:cs typeface="宋体" panose="02010600030101010101" charset="-122"/>
              </a:rPr>
              <a:t>        </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一般公共预算财政拨款支出决算结构</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04279560928165"/>
          <c:y val="0.0250057883769391"/>
        </c:manualLayout>
      </c:layout>
      <c:overlay val="0"/>
      <c:spPr>
        <a:noFill/>
        <a:ln>
          <a:noFill/>
        </a:ln>
        <a:effectLst/>
      </c:sp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[基础表.xls]Sheet3!$A$2</c:f>
              <c:strCache>
                <c:ptCount val="1"/>
                <c:pt idx="0">
                  <c:v>省总成都工人疗养院2020年度一般公共预算财政拨款支出决算结构</c:v>
                </c:pt>
              </c:strCache>
            </c:strRef>
          </c:tx>
          <c:spPr>
            <a:scene3d>
              <a:camera prst="orthographicFront"/>
              <a:lightRig rig="threePt" dir="t"/>
            </a:scene3d>
            <a:sp3d contourW="25400"/>
          </c:spPr>
          <c:explosion val="0"/>
          <c:dPt>
            <c:idx val="0"/>
            <c:bubble3D val="0"/>
            <c:explosion val="0"/>
            <c:spPr>
              <a:solidFill>
                <a:schemeClr val="accent1"/>
              </a:solidFill>
              <a:ln w="25400">
                <a:solidFill>
                  <a:schemeClr val="lt1"/>
                </a:solidFill>
              </a:ln>
              <a:effectLst/>
              <a:scene3d>
                <a:camera prst="orthographicFront"/>
                <a:lightRig rig="threePt" dir="t"/>
              </a:scene3d>
              <a:sp3d contourW="25400"/>
            </c:spPr>
          </c:dPt>
          <c:dPt>
            <c:idx val="1"/>
            <c:bubble3D val="0"/>
            <c:explosion val="0"/>
            <c:spPr>
              <a:solidFill>
                <a:schemeClr val="accent2"/>
              </a:solidFill>
              <a:ln w="25400">
                <a:solidFill>
                  <a:schemeClr val="lt1"/>
                </a:solidFill>
              </a:ln>
              <a:effectLst/>
              <a:scene3d>
                <a:camera prst="orthographicFront"/>
                <a:lightRig rig="threePt" dir="t"/>
              </a:scene3d>
              <a:sp3d contourW="25400"/>
            </c:spPr>
          </c:dPt>
          <c:dPt>
            <c:idx val="2"/>
            <c:bubble3D val="0"/>
            <c:explosion val="0"/>
            <c:spPr>
              <a:solidFill>
                <a:schemeClr val="accent3"/>
              </a:solidFill>
              <a:ln w="25400">
                <a:solidFill>
                  <a:schemeClr val="lt1"/>
                </a:solidFill>
              </a:ln>
              <a:effectLst/>
              <a:scene3d>
                <a:camera prst="orthographicFront"/>
                <a:lightRig rig="threePt" dir="t"/>
              </a:scene3d>
              <a:sp3d contourW="25400"/>
            </c:spPr>
          </c:dPt>
          <c:dPt>
            <c:idx val="3"/>
            <c:bubble3D val="0"/>
            <c:explosion val="0"/>
            <c:spPr>
              <a:solidFill>
                <a:schemeClr val="accent4"/>
              </a:solidFill>
              <a:ln w="25400">
                <a:solidFill>
                  <a:schemeClr val="lt1"/>
                </a:solidFill>
              </a:ln>
              <a:effectLst/>
              <a:scene3d>
                <a:camera prst="orthographicFront"/>
                <a:lightRig rig="threePt" dir="t"/>
              </a:scene3d>
              <a:sp3d contourW="25400"/>
            </c:spPr>
          </c:dPt>
          <c:dPt>
            <c:idx val="4"/>
            <c:bubble3D val="0"/>
            <c:explosion val="0"/>
            <c:spPr>
              <a:solidFill>
                <a:schemeClr val="accent5"/>
              </a:solidFill>
              <a:ln w="25400">
                <a:solidFill>
                  <a:schemeClr val="lt1"/>
                </a:solidFill>
              </a:ln>
              <a:effectLst/>
              <a:scene3d>
                <a:camera prst="orthographicFront"/>
                <a:lightRig rig="threePt" dir="t"/>
              </a:scene3d>
              <a:sp3d contourW="25400"/>
            </c:spPr>
          </c:dPt>
          <c:dPt>
            <c:idx val="5"/>
            <c:bubble3D val="0"/>
            <c:explosion val="0"/>
            <c:spPr>
              <a:solidFill>
                <a:schemeClr val="accent6"/>
              </a:solidFill>
              <a:ln w="25400">
                <a:solidFill>
                  <a:schemeClr val="lt1"/>
                </a:solidFill>
              </a:ln>
              <a:effectLst/>
              <a:scene3d>
                <a:camera prst="orthographicFront"/>
                <a:lightRig rig="threePt" dir="t"/>
              </a:scene3d>
              <a:sp3d contourW="25400"/>
            </c:spPr>
          </c:dPt>
          <c:dPt>
            <c:idx val="6"/>
            <c:bubble3D val="0"/>
            <c:explosion val="0"/>
            <c:spPr>
              <a:solidFill>
                <a:schemeClr val="accent1">
                  <a:lumMod val="60000"/>
                </a:schemeClr>
              </a:solidFill>
              <a:ln w="25400">
                <a:solidFill>
                  <a:schemeClr val="lt1"/>
                </a:solidFill>
              </a:ln>
              <a:effectLst/>
              <a:scene3d>
                <a:camera prst="orthographicFront"/>
                <a:lightRig rig="threePt" dir="t"/>
              </a:scene3d>
              <a:sp3d contourW="25400"/>
            </c:spPr>
          </c:dPt>
          <c:dLbls>
            <c:dLbl>
              <c:idx val="4"/>
              <c:layout>
                <c:manualLayout>
                  <c:x val="0.00166695525205314"/>
                  <c:y val="-0.14900127919455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132.40</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endParaRPr lang="en-US" altLang="zh-CN" sz="900" b="0" i="0" u="none" strike="noStrike" baseline="0">
                      <a:solidFill>
                        <a:srgbClr val="404040">
                          <a:alpha val="100000"/>
                        </a:srgbClr>
                      </a:solidFill>
                      <a:latin typeface="Calibri" panose="020F0502020204030204" pitchFamily="2" charset="0"/>
                      <a:ea typeface="Calibri" panose="020F0502020204030204" pitchFamily="2" charset="0"/>
                      <a:cs typeface="Calibri" panose="020F0502020204030204" pitchFamily="2"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6"/>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[基础表.xls]Sheet3!$B$1:$H$1</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Ref>
              <c:f>[基础表.xls]Sheet3!$B$2:$H$2</c:f>
              <c:numCache>
                <c:formatCode>General</c:formatCode>
                <c:ptCount val="7"/>
                <c:pt idx="0">
                  <c:v>0</c:v>
                </c:pt>
                <c:pt idx="1">
                  <c:v>0</c:v>
                </c:pt>
                <c:pt idx="2">
                  <c:v>0</c:v>
                </c:pt>
                <c:pt idx="3">
                  <c:v>0</c:v>
                </c:pt>
                <c:pt idx="4">
                  <c:v>132.4</c:v>
                </c:pt>
                <c:pt idx="5">
                  <c:v>0</c:v>
                </c:pt>
                <c:pt idx="6">
                  <c:v>0</c:v>
                </c:pt>
              </c:numCache>
            </c:numRef>
          </c:val>
        </c:ser>
        <c:dLbls>
          <c:showLegendKey val="0"/>
          <c:showVal val="0"/>
          <c:showCatName val="0"/>
          <c:showSerName val="0"/>
          <c:showPercent val="0"/>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5258</Words>
  <Characters>5661</Characters>
  <Lines>61</Lines>
  <Paragraphs>17</Paragraphs>
  <TotalTime>4</TotalTime>
  <ScaleCrop>false</ScaleCrop>
  <LinksUpToDate>false</LinksUpToDate>
  <CharactersWithSpaces>5682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cc</cp:lastModifiedBy>
  <cp:lastPrinted>2023-07-31T02:35:00Z</cp:lastPrinted>
  <dcterms:modified xsi:type="dcterms:W3CDTF">2023-09-05T06:30:26Z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74470C3010B84147913424EC536BD1AB_12</vt:lpwstr>
  </property>
</Properties>
</file>